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D306" w14:textId="77777777" w:rsidR="000F10DD" w:rsidRDefault="000F10DD" w:rsidP="000F10DD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4F61AA9" wp14:editId="0A8514A9">
            <wp:simplePos x="0" y="0"/>
            <wp:positionH relativeFrom="page">
              <wp:posOffset>1105894</wp:posOffset>
            </wp:positionH>
            <wp:positionV relativeFrom="page">
              <wp:posOffset>1020694</wp:posOffset>
            </wp:positionV>
            <wp:extent cx="939165" cy="9391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2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400"/>
        <w:gridCol w:w="20"/>
      </w:tblGrid>
      <w:tr w:rsidR="000F10DD" w14:paraId="30D0D977" w14:textId="77777777" w:rsidTr="0085686A">
        <w:trPr>
          <w:trHeight w:val="504"/>
        </w:trPr>
        <w:tc>
          <w:tcPr>
            <w:tcW w:w="2260" w:type="dxa"/>
            <w:tcBorders>
              <w:right w:val="single" w:sz="18" w:space="0" w:color="5B9BD5" w:themeColor="accent5"/>
            </w:tcBorders>
            <w:vAlign w:val="bottom"/>
          </w:tcPr>
          <w:p w14:paraId="7CD16238" w14:textId="77777777" w:rsidR="000F10DD" w:rsidRDefault="000F10DD" w:rsidP="00684C80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>UNIVERSITE</w:t>
            </w:r>
          </w:p>
        </w:tc>
        <w:tc>
          <w:tcPr>
            <w:tcW w:w="5400" w:type="dxa"/>
            <w:vMerge w:val="restart"/>
            <w:tcBorders>
              <w:left w:val="single" w:sz="18" w:space="0" w:color="5B9BD5" w:themeColor="accent5"/>
            </w:tcBorders>
            <w:vAlign w:val="bottom"/>
          </w:tcPr>
          <w:p w14:paraId="07B204C5" w14:textId="77777777" w:rsidR="000F10DD" w:rsidRPr="0071194F" w:rsidRDefault="000F10DD" w:rsidP="00684C80">
            <w:pPr>
              <w:ind w:left="160"/>
              <w:rPr>
                <w:rFonts w:ascii="Cambria" w:hAnsi="Cambria"/>
                <w:sz w:val="22"/>
                <w:szCs w:val="22"/>
              </w:rPr>
            </w:pPr>
            <w:r w:rsidRPr="0071194F">
              <w:rPr>
                <w:rFonts w:ascii="Cambria" w:eastAsia="Calibri" w:hAnsi="Cambria" w:cs="Calibri"/>
                <w:w w:val="99"/>
                <w:sz w:val="22"/>
                <w:szCs w:val="22"/>
              </w:rPr>
              <w:t>DIRECTION DE LA RECHERCHE ET DE L’INNOVATION</w:t>
            </w:r>
          </w:p>
        </w:tc>
        <w:tc>
          <w:tcPr>
            <w:tcW w:w="0" w:type="dxa"/>
            <w:vAlign w:val="bottom"/>
          </w:tcPr>
          <w:p w14:paraId="536DA7F2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5249768D" w14:textId="77777777" w:rsidTr="0085686A">
        <w:trPr>
          <w:trHeight w:val="147"/>
        </w:trPr>
        <w:tc>
          <w:tcPr>
            <w:tcW w:w="2260" w:type="dxa"/>
            <w:vMerge w:val="restart"/>
            <w:tcBorders>
              <w:right w:val="single" w:sz="18" w:space="0" w:color="5B9BD5" w:themeColor="accent5"/>
            </w:tcBorders>
            <w:vAlign w:val="bottom"/>
          </w:tcPr>
          <w:p w14:paraId="573368F2" w14:textId="77777777" w:rsidR="000F10DD" w:rsidRDefault="000F10DD" w:rsidP="00684C80">
            <w:pPr>
              <w:spacing w:line="32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>CHEIKH ANTA DIOP</w:t>
            </w:r>
          </w:p>
        </w:tc>
        <w:tc>
          <w:tcPr>
            <w:tcW w:w="5400" w:type="dxa"/>
            <w:vMerge/>
            <w:tcBorders>
              <w:left w:val="single" w:sz="18" w:space="0" w:color="5B9BD5" w:themeColor="accent5"/>
            </w:tcBorders>
            <w:vAlign w:val="bottom"/>
          </w:tcPr>
          <w:p w14:paraId="6A4DE706" w14:textId="77777777" w:rsidR="000F10DD" w:rsidRDefault="000F10DD" w:rsidP="00684C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9A4CC96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2DC10AB8" w14:textId="77777777" w:rsidTr="0085686A">
        <w:trPr>
          <w:trHeight w:val="176"/>
        </w:trPr>
        <w:tc>
          <w:tcPr>
            <w:tcW w:w="2260" w:type="dxa"/>
            <w:vMerge/>
            <w:tcBorders>
              <w:right w:val="single" w:sz="18" w:space="0" w:color="5B9BD5" w:themeColor="accent5"/>
            </w:tcBorders>
            <w:vAlign w:val="bottom"/>
          </w:tcPr>
          <w:p w14:paraId="6755D3D1" w14:textId="77777777" w:rsidR="000F10DD" w:rsidRDefault="000F10DD" w:rsidP="00684C80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vMerge w:val="restart"/>
            <w:tcBorders>
              <w:left w:val="single" w:sz="18" w:space="0" w:color="5B9BD5" w:themeColor="accent5"/>
            </w:tcBorders>
            <w:vAlign w:val="bottom"/>
          </w:tcPr>
          <w:p w14:paraId="62ABD589" w14:textId="77777777" w:rsidR="000F10DD" w:rsidRPr="0071194F" w:rsidRDefault="000F10DD" w:rsidP="00684C80">
            <w:pPr>
              <w:ind w:left="160"/>
              <w:rPr>
                <w:rFonts w:ascii="Britannic Bold" w:hAnsi="Britannic Bold"/>
                <w:sz w:val="20"/>
                <w:szCs w:val="20"/>
              </w:rPr>
            </w:pPr>
            <w:r w:rsidRPr="0071194F">
              <w:rPr>
                <w:rFonts w:ascii="Britannic Bold" w:eastAsia="Calibri" w:hAnsi="Britannic Bold" w:cs="Calibri"/>
                <w:bCs/>
                <w:sz w:val="25"/>
                <w:szCs w:val="25"/>
              </w:rPr>
              <w:t>RECTORAT</w:t>
            </w:r>
          </w:p>
        </w:tc>
        <w:tc>
          <w:tcPr>
            <w:tcW w:w="0" w:type="dxa"/>
            <w:vAlign w:val="bottom"/>
          </w:tcPr>
          <w:p w14:paraId="752BD616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6A464381" w14:textId="77777777" w:rsidTr="0085686A">
        <w:trPr>
          <w:trHeight w:val="190"/>
        </w:trPr>
        <w:tc>
          <w:tcPr>
            <w:tcW w:w="2260" w:type="dxa"/>
            <w:vMerge w:val="restart"/>
            <w:tcBorders>
              <w:right w:val="single" w:sz="18" w:space="0" w:color="5B9BD5" w:themeColor="accent5"/>
            </w:tcBorders>
            <w:vAlign w:val="bottom"/>
          </w:tcPr>
          <w:p w14:paraId="61C51114" w14:textId="77777777" w:rsidR="000F10DD" w:rsidRDefault="000F10DD" w:rsidP="00684C8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>DE DAKAR</w:t>
            </w:r>
          </w:p>
        </w:tc>
        <w:tc>
          <w:tcPr>
            <w:tcW w:w="5400" w:type="dxa"/>
            <w:vMerge/>
            <w:tcBorders>
              <w:left w:val="single" w:sz="18" w:space="0" w:color="5B9BD5" w:themeColor="accent5"/>
            </w:tcBorders>
            <w:vAlign w:val="bottom"/>
          </w:tcPr>
          <w:p w14:paraId="602D1D1B" w14:textId="77777777" w:rsidR="000F10DD" w:rsidRDefault="000F10DD" w:rsidP="00684C8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DC283C7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6F18004C" w14:textId="77777777" w:rsidTr="0085686A">
        <w:trPr>
          <w:trHeight w:val="154"/>
        </w:trPr>
        <w:tc>
          <w:tcPr>
            <w:tcW w:w="2260" w:type="dxa"/>
            <w:vMerge/>
            <w:tcBorders>
              <w:right w:val="single" w:sz="18" w:space="0" w:color="5B9BD5" w:themeColor="accent5"/>
            </w:tcBorders>
            <w:vAlign w:val="bottom"/>
          </w:tcPr>
          <w:p w14:paraId="2498A061" w14:textId="77777777" w:rsidR="000F10DD" w:rsidRDefault="000F10DD" w:rsidP="00684C80">
            <w:pPr>
              <w:rPr>
                <w:sz w:val="13"/>
                <w:szCs w:val="13"/>
              </w:rPr>
            </w:pPr>
          </w:p>
        </w:tc>
        <w:tc>
          <w:tcPr>
            <w:tcW w:w="5400" w:type="dxa"/>
            <w:tcBorders>
              <w:left w:val="single" w:sz="18" w:space="0" w:color="5B9BD5" w:themeColor="accent5"/>
            </w:tcBorders>
            <w:vAlign w:val="bottom"/>
          </w:tcPr>
          <w:p w14:paraId="0E4D6E07" w14:textId="77777777" w:rsidR="000F10DD" w:rsidRDefault="000F10DD" w:rsidP="00684C8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B82AC47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69C893B0" w14:textId="77777777" w:rsidTr="00684C80">
        <w:trPr>
          <w:trHeight w:val="47"/>
        </w:trPr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6D06204" w14:textId="77777777" w:rsidR="000F10DD" w:rsidRDefault="000F10DD" w:rsidP="00684C80">
            <w:pPr>
              <w:rPr>
                <w:sz w:val="4"/>
                <w:szCs w:val="4"/>
              </w:rPr>
            </w:pPr>
          </w:p>
        </w:tc>
        <w:tc>
          <w:tcPr>
            <w:tcW w:w="5400" w:type="dxa"/>
            <w:vAlign w:val="bottom"/>
          </w:tcPr>
          <w:p w14:paraId="034CF76B" w14:textId="77777777" w:rsidR="000F10DD" w:rsidRDefault="000F10DD" w:rsidP="00684C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ABC6DAF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</w:tbl>
    <w:p w14:paraId="1D72267B" w14:textId="77777777" w:rsidR="000F10DD" w:rsidRDefault="000F10DD" w:rsidP="000F10DD">
      <w:pPr>
        <w:spacing w:line="360" w:lineRule="auto"/>
        <w:rPr>
          <w:rFonts w:ascii="Arial" w:hAnsi="Arial" w:cs="Arial"/>
          <w:b/>
          <w:bCs/>
        </w:rPr>
      </w:pPr>
    </w:p>
    <w:p w14:paraId="0F5A5E9E" w14:textId="38607CA5" w:rsidR="00136892" w:rsidRDefault="00136892" w:rsidP="0071194F">
      <w:pPr>
        <w:spacing w:line="360" w:lineRule="auto"/>
        <w:rPr>
          <w:rFonts w:ascii="Arial" w:hAnsi="Arial" w:cs="Arial"/>
          <w:b/>
          <w:bCs/>
        </w:rPr>
      </w:pPr>
    </w:p>
    <w:p w14:paraId="689A8E9F" w14:textId="77777777" w:rsidR="0071194F" w:rsidRDefault="0071194F" w:rsidP="0071194F">
      <w:pPr>
        <w:spacing w:line="360" w:lineRule="auto"/>
        <w:rPr>
          <w:rFonts w:ascii="Arial" w:hAnsi="Arial" w:cs="Arial"/>
          <w:b/>
          <w:bCs/>
        </w:rPr>
      </w:pPr>
    </w:p>
    <w:p w14:paraId="55F645B7" w14:textId="4C9F17BA" w:rsidR="000F10DD" w:rsidRDefault="000F10DD" w:rsidP="000F10DD">
      <w:pPr>
        <w:tabs>
          <w:tab w:val="left" w:pos="8931"/>
          <w:tab w:val="left" w:pos="9064"/>
        </w:tabs>
        <w:ind w:left="142" w:right="-8"/>
        <w:jc w:val="center"/>
        <w:rPr>
          <w:rFonts w:ascii="Arial Black" w:hAnsi="Arial Black" w:cs="Arial"/>
          <w:color w:val="2E74B5" w:themeColor="accent5" w:themeShade="BF"/>
          <w:sz w:val="22"/>
          <w:szCs w:val="22"/>
        </w:rPr>
      </w:pPr>
      <w:r w:rsidRPr="001F3006">
        <w:rPr>
          <w:rFonts w:ascii="Arial Black" w:hAnsi="Arial Black" w:cs="Arial"/>
          <w:color w:val="2E74B5" w:themeColor="accent5" w:themeShade="BF"/>
          <w:sz w:val="22"/>
          <w:szCs w:val="22"/>
        </w:rPr>
        <w:t>INSCRIPTION SUR LES LISTES D’APTITUDE DU CONSEIL AFRICAIN ET MALGACHE POUR L’ENSEIGNEMENT SUP</w:t>
      </w:r>
      <w:r w:rsidR="00BA38E6">
        <w:rPr>
          <w:rFonts w:ascii="Arial Black" w:hAnsi="Arial Black" w:cs="Arial"/>
          <w:color w:val="2E74B5" w:themeColor="accent5" w:themeShade="BF"/>
          <w:sz w:val="22"/>
          <w:szCs w:val="22"/>
        </w:rPr>
        <w:t>É</w:t>
      </w:r>
      <w:r w:rsidRPr="001F3006">
        <w:rPr>
          <w:rFonts w:ascii="Arial Black" w:hAnsi="Arial Black" w:cs="Arial"/>
          <w:color w:val="2E74B5" w:themeColor="accent5" w:themeShade="BF"/>
          <w:sz w:val="22"/>
          <w:szCs w:val="22"/>
        </w:rPr>
        <w:t>RIEUR (CAMES-CCI 202</w:t>
      </w:r>
      <w:r w:rsidR="000D1417">
        <w:rPr>
          <w:rFonts w:ascii="Arial Black" w:hAnsi="Arial Black" w:cs="Arial"/>
          <w:color w:val="2E74B5" w:themeColor="accent5" w:themeShade="BF"/>
          <w:sz w:val="22"/>
          <w:szCs w:val="22"/>
        </w:rPr>
        <w:t>3</w:t>
      </w:r>
      <w:r w:rsidRPr="001F3006">
        <w:rPr>
          <w:rFonts w:ascii="Arial Black" w:hAnsi="Arial Black" w:cs="Arial"/>
          <w:color w:val="2E74B5" w:themeColor="accent5" w:themeShade="BF"/>
          <w:sz w:val="22"/>
          <w:szCs w:val="22"/>
        </w:rPr>
        <w:t>)</w:t>
      </w:r>
    </w:p>
    <w:p w14:paraId="63DD724B" w14:textId="58B10E18" w:rsidR="000F10DD" w:rsidRDefault="000F10DD" w:rsidP="000F10DD">
      <w:pPr>
        <w:tabs>
          <w:tab w:val="left" w:pos="8931"/>
          <w:tab w:val="left" w:pos="9064"/>
        </w:tabs>
        <w:ind w:left="142" w:right="-8"/>
        <w:jc w:val="center"/>
        <w:rPr>
          <w:rFonts w:ascii="Arial Black" w:hAnsi="Arial Black" w:cs="Arial"/>
          <w:color w:val="2E74B5" w:themeColor="accent5" w:themeShade="BF"/>
          <w:sz w:val="22"/>
          <w:szCs w:val="22"/>
        </w:rPr>
      </w:pPr>
    </w:p>
    <w:p w14:paraId="1B7690CD" w14:textId="77777777" w:rsidR="0071194F" w:rsidRPr="001F3006" w:rsidRDefault="0071194F" w:rsidP="000F10DD">
      <w:pPr>
        <w:tabs>
          <w:tab w:val="left" w:pos="8931"/>
          <w:tab w:val="left" w:pos="9064"/>
        </w:tabs>
        <w:ind w:left="142" w:right="-8"/>
        <w:jc w:val="center"/>
        <w:rPr>
          <w:rFonts w:ascii="Arial Black" w:hAnsi="Arial Black" w:cs="Arial"/>
          <w:color w:val="2E74B5" w:themeColor="accent5" w:themeShade="BF"/>
          <w:sz w:val="22"/>
          <w:szCs w:val="22"/>
        </w:rPr>
      </w:pPr>
    </w:p>
    <w:p w14:paraId="417687E7" w14:textId="3E119B80" w:rsidR="000F10DD" w:rsidRPr="001F3006" w:rsidRDefault="006F5686" w:rsidP="000F10DD">
      <w:pPr>
        <w:tabs>
          <w:tab w:val="left" w:pos="8931"/>
          <w:tab w:val="left" w:pos="9064"/>
        </w:tabs>
        <w:ind w:left="142" w:right="-8"/>
        <w:jc w:val="center"/>
        <w:rPr>
          <w:rFonts w:ascii="BookmanOldStyle" w:hAnsi="BookmanOldStyle" w:cs="BookmanOldStyle"/>
          <w:bCs/>
          <w:sz w:val="22"/>
          <w:szCs w:val="22"/>
        </w:rPr>
      </w:pPr>
      <w:r>
        <w:rPr>
          <w:rFonts w:ascii="Arial Black" w:hAnsi="Arial Black" w:cs="Arial"/>
        </w:rPr>
        <w:t>161 INSCRITS POUR</w:t>
      </w:r>
      <w:r w:rsidR="000F10DD" w:rsidRPr="001F3006">
        <w:rPr>
          <w:rFonts w:ascii="Arial Black" w:hAnsi="Arial Black" w:cs="Arial"/>
        </w:rPr>
        <w:t xml:space="preserve"> L’UNIVERSIT</w:t>
      </w:r>
      <w:r w:rsidR="00BA38E6">
        <w:rPr>
          <w:rFonts w:ascii="Arial Black" w:hAnsi="Arial Black" w:cs="Arial"/>
        </w:rPr>
        <w:t>É</w:t>
      </w:r>
      <w:r w:rsidR="000F10DD" w:rsidRPr="001F3006">
        <w:rPr>
          <w:rFonts w:ascii="Arial Black" w:hAnsi="Arial Black" w:cs="Arial"/>
        </w:rPr>
        <w:t xml:space="preserve"> CHEIKH ANTA DIOP </w:t>
      </w:r>
      <w:r w:rsidR="0071613E">
        <w:rPr>
          <w:rFonts w:ascii="Arial Black" w:hAnsi="Arial Black" w:cs="Arial"/>
        </w:rPr>
        <w:t>DE DAKAR</w:t>
      </w:r>
    </w:p>
    <w:p w14:paraId="449911AD" w14:textId="0546124A" w:rsidR="00270150" w:rsidRDefault="00270150" w:rsidP="00C5606C">
      <w:pPr>
        <w:spacing w:after="100" w:afterAutospacing="1" w:line="276" w:lineRule="auto"/>
        <w:jc w:val="both"/>
        <w:rPr>
          <w:rFonts w:ascii="Cambria" w:hAnsi="Cambria" w:cs="Arial"/>
          <w:strike/>
          <w:color w:val="FF0000"/>
          <w:sz w:val="22"/>
          <w:szCs w:val="22"/>
        </w:rPr>
      </w:pPr>
    </w:p>
    <w:p w14:paraId="42D73390" w14:textId="4FEF6223" w:rsidR="00C5606C" w:rsidRPr="00E01B5F" w:rsidRDefault="009505FC" w:rsidP="00C5606C">
      <w:pPr>
        <w:spacing w:after="100" w:afterAutospacing="1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Pour l’année  2023, l</w:t>
      </w:r>
      <w:r w:rsidR="007E3C40" w:rsidRPr="00E01B5F">
        <w:rPr>
          <w:rFonts w:ascii="Cambria" w:hAnsi="Cambria" w:cs="Arial"/>
          <w:sz w:val="22"/>
          <w:szCs w:val="22"/>
        </w:rPr>
        <w:t>’</w:t>
      </w:r>
      <w:r w:rsidR="00C5606C" w:rsidRPr="00E01B5F">
        <w:rPr>
          <w:rFonts w:ascii="Cambria" w:hAnsi="Cambria" w:cs="Arial"/>
          <w:sz w:val="22"/>
          <w:szCs w:val="22"/>
        </w:rPr>
        <w:t xml:space="preserve">Université Cheikh Anta Diop de Dakar (UCAD) </w:t>
      </w:r>
      <w:r w:rsidR="007E3C40" w:rsidRPr="00E01B5F">
        <w:rPr>
          <w:rFonts w:ascii="Cambria" w:hAnsi="Cambria" w:cs="Arial"/>
          <w:sz w:val="22"/>
          <w:szCs w:val="22"/>
        </w:rPr>
        <w:t xml:space="preserve">a </w:t>
      </w:r>
      <w:r w:rsidR="007E3C40" w:rsidRPr="00270150">
        <w:rPr>
          <w:rFonts w:ascii="Cambria" w:hAnsi="Cambria" w:cs="Arial"/>
          <w:sz w:val="22"/>
          <w:szCs w:val="22"/>
        </w:rPr>
        <w:t xml:space="preserve">enregistré un taux de réussite </w:t>
      </w:r>
      <w:r w:rsidR="00270150" w:rsidRPr="00270150">
        <w:rPr>
          <w:rFonts w:ascii="Cambria" w:hAnsi="Cambria" w:cs="Arial"/>
          <w:sz w:val="22"/>
          <w:szCs w:val="22"/>
        </w:rPr>
        <w:t xml:space="preserve">global </w:t>
      </w:r>
      <w:r w:rsidR="007E3C40" w:rsidRPr="00270150">
        <w:rPr>
          <w:rFonts w:ascii="Cambria" w:hAnsi="Cambria" w:cs="Arial"/>
          <w:sz w:val="22"/>
          <w:szCs w:val="22"/>
        </w:rPr>
        <w:t>de</w:t>
      </w:r>
      <w:r w:rsidR="00C5606C" w:rsidRPr="00270150">
        <w:rPr>
          <w:rFonts w:ascii="Cambria" w:hAnsi="Cambria" w:cs="Arial"/>
          <w:sz w:val="22"/>
          <w:szCs w:val="22"/>
        </w:rPr>
        <w:t xml:space="preserve"> </w:t>
      </w:r>
      <w:r w:rsidR="00D17487">
        <w:rPr>
          <w:rFonts w:ascii="Cambria" w:hAnsi="Cambria" w:cs="Arial"/>
          <w:b/>
          <w:sz w:val="22"/>
          <w:szCs w:val="22"/>
        </w:rPr>
        <w:t>88,5</w:t>
      </w:r>
      <w:r w:rsidR="00C5606C" w:rsidRPr="00270150">
        <w:rPr>
          <w:rFonts w:ascii="Cambria" w:hAnsi="Cambria" w:cs="Arial"/>
          <w:b/>
          <w:sz w:val="22"/>
          <w:szCs w:val="22"/>
        </w:rPr>
        <w:t>%</w:t>
      </w:r>
      <w:r w:rsidR="00C5606C" w:rsidRPr="00270150">
        <w:rPr>
          <w:rFonts w:ascii="Cambria" w:hAnsi="Cambria" w:cs="Arial"/>
          <w:sz w:val="22"/>
          <w:szCs w:val="22"/>
        </w:rPr>
        <w:t xml:space="preserve"> </w:t>
      </w:r>
      <w:r w:rsidR="00C5606C" w:rsidRPr="00E01B5F">
        <w:rPr>
          <w:rFonts w:ascii="Cambria" w:hAnsi="Cambria" w:cs="Arial"/>
          <w:b/>
          <w:bCs/>
          <w:color w:val="212529"/>
          <w:sz w:val="22"/>
          <w:szCs w:val="22"/>
        </w:rPr>
        <w:t xml:space="preserve">aux Comités consultatifs interafricains </w:t>
      </w:r>
      <w:r w:rsidR="00231967" w:rsidRPr="00A7634E">
        <w:rPr>
          <w:rFonts w:ascii="Cambria" w:hAnsi="Cambria" w:cs="Arial"/>
          <w:b/>
          <w:bCs/>
          <w:color w:val="212529"/>
          <w:sz w:val="22"/>
          <w:szCs w:val="22"/>
        </w:rPr>
        <w:t xml:space="preserve">de </w:t>
      </w:r>
      <w:r w:rsidR="00CC09C0">
        <w:rPr>
          <w:rFonts w:ascii="Cambria" w:hAnsi="Cambria" w:cs="Arial"/>
          <w:b/>
          <w:bCs/>
          <w:color w:val="212529"/>
          <w:sz w:val="22"/>
          <w:szCs w:val="22"/>
        </w:rPr>
        <w:t xml:space="preserve">l’année </w:t>
      </w:r>
      <w:r w:rsidR="00231967" w:rsidRPr="00A7634E">
        <w:rPr>
          <w:rFonts w:ascii="Cambria" w:hAnsi="Cambria" w:cs="Arial"/>
          <w:b/>
          <w:bCs/>
          <w:color w:val="212529"/>
          <w:sz w:val="22"/>
          <w:szCs w:val="22"/>
        </w:rPr>
        <w:t>2022 (CCI-</w:t>
      </w:r>
      <w:r>
        <w:rPr>
          <w:rFonts w:ascii="Cambria" w:hAnsi="Cambria" w:cs="Arial"/>
          <w:b/>
          <w:bCs/>
          <w:color w:val="212529"/>
          <w:sz w:val="22"/>
          <w:szCs w:val="22"/>
        </w:rPr>
        <w:t>2023</w:t>
      </w:r>
      <w:r w:rsidR="00C5606C" w:rsidRPr="00E01B5F">
        <w:rPr>
          <w:rFonts w:ascii="Cambria" w:hAnsi="Cambria" w:cs="Arial"/>
          <w:b/>
          <w:bCs/>
          <w:color w:val="212529"/>
          <w:sz w:val="22"/>
          <w:szCs w:val="22"/>
        </w:rPr>
        <w:t xml:space="preserve">), </w:t>
      </w:r>
      <w:r w:rsidR="00C5606C" w:rsidRPr="00E01B5F">
        <w:rPr>
          <w:rFonts w:ascii="Cambria" w:hAnsi="Cambria" w:cs="Arial"/>
          <w:bCs/>
          <w:color w:val="212529"/>
          <w:sz w:val="22"/>
          <w:szCs w:val="22"/>
        </w:rPr>
        <w:t xml:space="preserve">soit </w:t>
      </w:r>
      <w:r w:rsidR="00D17487">
        <w:rPr>
          <w:rFonts w:ascii="Cambria" w:hAnsi="Cambria" w:cs="Arial"/>
          <w:b/>
          <w:bCs/>
          <w:color w:val="212529"/>
          <w:sz w:val="22"/>
          <w:szCs w:val="22"/>
        </w:rPr>
        <w:t>161</w:t>
      </w:r>
      <w:r w:rsidR="00C5606C" w:rsidRPr="00E01B5F">
        <w:rPr>
          <w:rFonts w:ascii="Cambria" w:hAnsi="Cambria" w:cs="Arial"/>
          <w:b/>
          <w:bCs/>
          <w:color w:val="212529"/>
          <w:sz w:val="22"/>
          <w:szCs w:val="22"/>
        </w:rPr>
        <w:t xml:space="preserve"> inscrits</w:t>
      </w:r>
      <w:r w:rsidR="00C5606C" w:rsidRPr="00E01B5F">
        <w:rPr>
          <w:rFonts w:ascii="Cambria" w:hAnsi="Cambria" w:cs="Arial"/>
          <w:sz w:val="22"/>
          <w:szCs w:val="22"/>
        </w:rPr>
        <w:t xml:space="preserve"> </w:t>
      </w:r>
      <w:r w:rsidR="00C5606C" w:rsidRPr="00E01B5F">
        <w:rPr>
          <w:rFonts w:ascii="Cambria" w:hAnsi="Cambria" w:cs="Arial"/>
          <w:color w:val="212529"/>
          <w:sz w:val="22"/>
          <w:szCs w:val="22"/>
        </w:rPr>
        <w:t xml:space="preserve">sur les </w:t>
      </w:r>
      <w:r w:rsidR="00D17487">
        <w:rPr>
          <w:rFonts w:ascii="Cambria" w:hAnsi="Cambria" w:cs="Arial"/>
          <w:b/>
          <w:sz w:val="22"/>
          <w:szCs w:val="22"/>
        </w:rPr>
        <w:t>182</w:t>
      </w:r>
      <w:r w:rsidR="00C5606C" w:rsidRPr="00E01B5F">
        <w:rPr>
          <w:rFonts w:ascii="Cambria" w:hAnsi="Cambria" w:cs="Arial"/>
          <w:b/>
          <w:sz w:val="22"/>
          <w:szCs w:val="22"/>
        </w:rPr>
        <w:t xml:space="preserve"> candidatures </w:t>
      </w:r>
      <w:r w:rsidR="00C5606C" w:rsidRPr="00E01B5F">
        <w:rPr>
          <w:rFonts w:ascii="Cambria" w:hAnsi="Cambria" w:cs="Arial"/>
          <w:sz w:val="22"/>
          <w:szCs w:val="22"/>
        </w:rPr>
        <w:t xml:space="preserve">soumises </w:t>
      </w:r>
      <w:r w:rsidR="00C5606C" w:rsidRPr="00E01B5F">
        <w:rPr>
          <w:rFonts w:ascii="Cambria" w:hAnsi="Cambria" w:cs="Arial"/>
          <w:color w:val="212529"/>
          <w:sz w:val="22"/>
          <w:szCs w:val="22"/>
        </w:rPr>
        <w:t xml:space="preserve">pour l’inscription sur les listes d’aptitude aux différents grades de l’Enseignement </w:t>
      </w:r>
      <w:r w:rsidR="00BA38E6">
        <w:rPr>
          <w:rFonts w:ascii="Cambria" w:hAnsi="Cambria" w:cs="Arial"/>
          <w:color w:val="212529"/>
          <w:sz w:val="22"/>
          <w:szCs w:val="22"/>
        </w:rPr>
        <w:t>s</w:t>
      </w:r>
      <w:r w:rsidR="00C5606C" w:rsidRPr="00E01B5F">
        <w:rPr>
          <w:rFonts w:ascii="Cambria" w:hAnsi="Cambria" w:cs="Arial"/>
          <w:color w:val="212529"/>
          <w:sz w:val="22"/>
          <w:szCs w:val="22"/>
        </w:rPr>
        <w:t xml:space="preserve">upérieur et de la </w:t>
      </w:r>
      <w:r w:rsidR="0063074C" w:rsidRPr="00E01B5F">
        <w:rPr>
          <w:rFonts w:ascii="Cambria" w:hAnsi="Cambria" w:cs="Arial"/>
          <w:color w:val="212529"/>
          <w:sz w:val="22"/>
          <w:szCs w:val="22"/>
        </w:rPr>
        <w:t xml:space="preserve">Recherche </w:t>
      </w:r>
      <w:r w:rsidR="0063074C" w:rsidRPr="0063074C">
        <w:rPr>
          <w:rFonts w:ascii="Cambria" w:hAnsi="Cambria" w:cs="Arial"/>
          <w:color w:val="212529"/>
          <w:sz w:val="22"/>
          <w:szCs w:val="22"/>
        </w:rPr>
        <w:t>(</w:t>
      </w:r>
      <w:r w:rsidR="00C5606C" w:rsidRPr="0063074C">
        <w:rPr>
          <w:rFonts w:ascii="Cambria" w:hAnsi="Cambria" w:cs="Arial"/>
          <w:sz w:val="22"/>
          <w:szCs w:val="22"/>
        </w:rPr>
        <w:t>cf.</w:t>
      </w:r>
      <w:r w:rsidR="00C5606C" w:rsidRPr="00E01B5F">
        <w:rPr>
          <w:rFonts w:ascii="Cambria" w:hAnsi="Cambria" w:cs="Arial"/>
          <w:sz w:val="22"/>
          <w:szCs w:val="22"/>
        </w:rPr>
        <w:t xml:space="preserve"> tableau 1).</w:t>
      </w:r>
    </w:p>
    <w:p w14:paraId="54E1EB7C" w14:textId="3EAD8F11" w:rsidR="00C5606C" w:rsidRPr="00E01B5F" w:rsidRDefault="00C5606C" w:rsidP="004D2905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01B5F">
        <w:rPr>
          <w:rFonts w:ascii="Cambria" w:hAnsi="Cambria" w:cs="Arial"/>
          <w:b/>
          <w:sz w:val="20"/>
          <w:szCs w:val="20"/>
        </w:rPr>
        <w:t>Tableau 1.  Nombre de candidats et taux de r</w:t>
      </w:r>
      <w:r w:rsidR="00BA38E6">
        <w:rPr>
          <w:rFonts w:ascii="Cambria" w:hAnsi="Cambria" w:cs="Arial"/>
          <w:b/>
          <w:sz w:val="20"/>
          <w:szCs w:val="20"/>
        </w:rPr>
        <w:t>é</w:t>
      </w:r>
      <w:r w:rsidRPr="00E01B5F">
        <w:rPr>
          <w:rFonts w:ascii="Cambria" w:hAnsi="Cambria" w:cs="Arial"/>
          <w:b/>
          <w:sz w:val="20"/>
          <w:szCs w:val="20"/>
        </w:rPr>
        <w:t>ussite selon le Comité technique spécialisé</w:t>
      </w:r>
      <w:r w:rsidR="005C529A" w:rsidRPr="00E01B5F">
        <w:rPr>
          <w:rFonts w:ascii="Cambria" w:hAnsi="Cambria" w:cs="Arial"/>
          <w:b/>
          <w:sz w:val="20"/>
          <w:szCs w:val="20"/>
        </w:rPr>
        <w:t xml:space="preserve"> (CTS)</w:t>
      </w:r>
    </w:p>
    <w:tbl>
      <w:tblPr>
        <w:tblW w:w="99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82"/>
        <w:gridCol w:w="1418"/>
        <w:gridCol w:w="1417"/>
        <w:gridCol w:w="1134"/>
        <w:gridCol w:w="993"/>
      </w:tblGrid>
      <w:tr w:rsidR="00C5606C" w:rsidRPr="00E01B5F" w14:paraId="0ABA2F87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CCFFFF"/>
            <w:noWrap/>
            <w:vAlign w:val="center"/>
            <w:hideMark/>
          </w:tcPr>
          <w:p w14:paraId="7A13DB85" w14:textId="77777777" w:rsidR="00C5606C" w:rsidRPr="00E01B5F" w:rsidRDefault="00C5606C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Années</w:t>
            </w:r>
          </w:p>
        </w:tc>
        <w:tc>
          <w:tcPr>
            <w:tcW w:w="1182" w:type="dxa"/>
            <w:shd w:val="clear" w:color="auto" w:fill="CCFFFF"/>
            <w:noWrap/>
            <w:vAlign w:val="center"/>
            <w:hideMark/>
          </w:tcPr>
          <w:p w14:paraId="66D97799" w14:textId="77777777" w:rsidR="00C5606C" w:rsidRPr="00E01B5F" w:rsidRDefault="00C5606C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Candidats présentés</w:t>
            </w:r>
          </w:p>
        </w:tc>
        <w:tc>
          <w:tcPr>
            <w:tcW w:w="1418" w:type="dxa"/>
            <w:shd w:val="clear" w:color="auto" w:fill="CCFFFF"/>
          </w:tcPr>
          <w:p w14:paraId="3FCE1335" w14:textId="77777777" w:rsidR="00C5606C" w:rsidRPr="00E01B5F" w:rsidRDefault="00C5606C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Candidatures irrecevables</w:t>
            </w:r>
          </w:p>
        </w:tc>
        <w:tc>
          <w:tcPr>
            <w:tcW w:w="1417" w:type="dxa"/>
            <w:shd w:val="clear" w:color="auto" w:fill="CCFFFF"/>
          </w:tcPr>
          <w:p w14:paraId="5FC39DF0" w14:textId="77777777" w:rsidR="00C5606C" w:rsidRPr="00E01B5F" w:rsidRDefault="00C5606C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Candidatures examinées</w:t>
            </w:r>
          </w:p>
        </w:tc>
        <w:tc>
          <w:tcPr>
            <w:tcW w:w="1134" w:type="dxa"/>
            <w:shd w:val="clear" w:color="auto" w:fill="CCFFFF"/>
            <w:noWrap/>
            <w:vAlign w:val="center"/>
            <w:hideMark/>
          </w:tcPr>
          <w:p w14:paraId="6E8ED72D" w14:textId="77777777" w:rsidR="00C5606C" w:rsidRPr="00E01B5F" w:rsidRDefault="00C5606C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Nombre d’inscrits</w:t>
            </w:r>
          </w:p>
        </w:tc>
        <w:tc>
          <w:tcPr>
            <w:tcW w:w="993" w:type="dxa"/>
            <w:shd w:val="clear" w:color="auto" w:fill="CCFFFF"/>
            <w:noWrap/>
            <w:vAlign w:val="center"/>
            <w:hideMark/>
          </w:tcPr>
          <w:p w14:paraId="78E1D520" w14:textId="77777777" w:rsidR="00C5606C" w:rsidRPr="00E01B5F" w:rsidRDefault="00C5606C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 xml:space="preserve">Taux de réussite </w:t>
            </w:r>
          </w:p>
        </w:tc>
      </w:tr>
      <w:tr w:rsidR="00C5606C" w:rsidRPr="00E01B5F" w14:paraId="1654582F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23BE0E1C" w14:textId="77777777" w:rsidR="00C5606C" w:rsidRPr="00E01B5F" w:rsidRDefault="00C5606C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Lettres et Sciences humaines (LSH)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4D300743" w14:textId="7639CD68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14:paraId="46936CEE" w14:textId="689E47BA" w:rsidR="00C5606C" w:rsidRPr="00F75105" w:rsidRDefault="00363960" w:rsidP="00EC628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D17487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0C6CD44" w14:textId="6F7D5611" w:rsidR="00C5606C" w:rsidRPr="00E01B5F" w:rsidRDefault="00DF11FD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BD6546" w14:textId="6E9DAE16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E2F16A" w14:textId="20DBB05C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87</w:t>
            </w:r>
            <w:r w:rsidR="00A379E1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  <w:r w:rsidR="00C5606C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C5606C" w:rsidRPr="00E01B5F" w14:paraId="2D1C677C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3CC7D366" w14:textId="77777777" w:rsidR="00C5606C" w:rsidRPr="00E01B5F" w:rsidRDefault="00C5606C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Mathématiques-Physique-Chimie (MPC)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5905BF1A" w14:textId="213D7B9C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4C813A7C" w14:textId="7AF2C7D8" w:rsidR="00C5606C" w:rsidRPr="00F75105" w:rsidRDefault="00C5606C" w:rsidP="00EC628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63960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14AD926C" w14:textId="75B716EF" w:rsidR="00C5606C" w:rsidRPr="00E01B5F" w:rsidRDefault="00DF11FD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D6F7DF" w14:textId="16A45EAD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F02086" w14:textId="24BE7D92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91,5</w:t>
            </w:r>
            <w:r w:rsidR="00C5606C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%</w:t>
            </w:r>
          </w:p>
        </w:tc>
      </w:tr>
      <w:tr w:rsidR="00C5606C" w:rsidRPr="00E01B5F" w14:paraId="29DEDC40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35BAB95E" w14:textId="77777777" w:rsidR="00C5606C" w:rsidRPr="00E01B5F" w:rsidRDefault="00C5606C" w:rsidP="00EC6281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Médecine-Pharmacie-Odontostomatologie-Médecine Vétérinaire (MPOV)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57662343" w14:textId="3C35B838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14:paraId="0463B28F" w14:textId="7F197EC4" w:rsidR="00C5606C" w:rsidRPr="00F75105" w:rsidRDefault="00363960" w:rsidP="00EC628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D17487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FC5DD08" w14:textId="7BAA770D" w:rsidR="00C5606C" w:rsidRPr="00E01B5F" w:rsidRDefault="00DF11FD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BD67E0" w14:textId="5046F7C5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46F2D6" w14:textId="4F7EB065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81.2</w:t>
            </w:r>
            <w:r w:rsidR="004D2905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  <w:r w:rsidR="00C5606C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C5606C" w:rsidRPr="00E01B5F" w14:paraId="4D13CBEF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bottom"/>
          </w:tcPr>
          <w:p w14:paraId="65B45B4A" w14:textId="41A1795D" w:rsidR="00C5606C" w:rsidRPr="00E01B5F" w:rsidRDefault="00C5606C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Sciences </w:t>
            </w:r>
            <w:r w:rsidR="005C529A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Économiques</w:t>
            </w: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et de Gestion (SEG)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531F1021" w14:textId="6F885DA0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14:paraId="69BAB18E" w14:textId="3EF5C167" w:rsidR="00C5606C" w:rsidRPr="00F75105" w:rsidRDefault="00363960" w:rsidP="00EC628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C5606C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A3A802F" w14:textId="006BFDA7" w:rsidR="00C5606C" w:rsidRPr="00E01B5F" w:rsidRDefault="00DF11FD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45E9E" w14:textId="6FEF2FC5" w:rsidR="00C5606C" w:rsidRPr="00E01B5F" w:rsidRDefault="00457E65" w:rsidP="00DF11FD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BEC18B" w14:textId="1441F4FC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92,8</w:t>
            </w:r>
            <w:r w:rsidR="00C5606C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C5606C" w:rsidRPr="00E01B5F" w14:paraId="11CCCCD9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0B8372E2" w14:textId="77777777" w:rsidR="00C5606C" w:rsidRPr="00E01B5F" w:rsidRDefault="00C5606C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Sciences et Techniques de l'Ingénieur (STI)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CDB0086" w14:textId="19E056D5" w:rsidR="00C5606C" w:rsidRPr="00E01B5F" w:rsidRDefault="00363960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</w:t>
            </w:r>
            <w:r w:rsidR="00DF11FD">
              <w:rPr>
                <w:rFonts w:ascii="Cambria" w:eastAsia="Times New Roman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08AFE5E8" w14:textId="2F16143B" w:rsidR="00C5606C" w:rsidRPr="00F75105" w:rsidRDefault="00363960" w:rsidP="00363960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C5606C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5F13A4DC" w14:textId="38977FC5" w:rsidR="00C5606C" w:rsidRPr="00E01B5F" w:rsidRDefault="00363960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</w:t>
            </w:r>
            <w:r w:rsidR="00DF11FD">
              <w:rPr>
                <w:rFonts w:ascii="Cambria" w:eastAsia="Times New Roman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A872E0" w14:textId="50DCC647" w:rsidR="00C5606C" w:rsidRPr="00E01B5F" w:rsidRDefault="00363960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</w:t>
            </w:r>
            <w:r w:rsidR="00457E65">
              <w:rPr>
                <w:rFonts w:ascii="Cambria" w:eastAsia="Times New Roman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4BC4E1" w14:textId="77777777" w:rsidR="00C5606C" w:rsidRPr="00E01B5F" w:rsidRDefault="00C5606C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100%</w:t>
            </w:r>
          </w:p>
        </w:tc>
      </w:tr>
      <w:tr w:rsidR="00C5606C" w:rsidRPr="00E01B5F" w14:paraId="7CEA22B1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78DB63E4" w14:textId="77777777" w:rsidR="00C5606C" w:rsidRPr="00E01B5F" w:rsidRDefault="00C5606C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Sciences Naturelles-Agronomie (SNA)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3941179" w14:textId="4EBC3E1C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14:paraId="326F1B4F" w14:textId="161CBDBC" w:rsidR="00C5606C" w:rsidRPr="00F75105" w:rsidRDefault="00C5606C" w:rsidP="00EC628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63960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B77830F" w14:textId="03DBC2D0" w:rsidR="00C5606C" w:rsidRPr="00E01B5F" w:rsidRDefault="00DF11FD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BBCB9" w14:textId="7EC9DE3A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B4032A" w14:textId="1F38C402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100</w:t>
            </w:r>
            <w:r w:rsidR="00C5606C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C5606C" w:rsidRPr="00E01B5F" w14:paraId="51D7186E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3D41E899" w14:textId="77777777" w:rsidR="00C5606C" w:rsidRPr="00E01B5F" w:rsidRDefault="00C5606C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Sciences juridiques et politiques (SJP)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2484F8A5" w14:textId="4BAD3A3B" w:rsidR="00C5606C" w:rsidRPr="00E01B5F" w:rsidRDefault="00363960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0</w:t>
            </w:r>
            <w:r w:rsidR="00DF11F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C439B39" w14:textId="30573DC5" w:rsidR="00C5606C" w:rsidRPr="00F75105" w:rsidRDefault="00C5606C" w:rsidP="00EC628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63960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8A6A5E8" w14:textId="3DEDF34B" w:rsidR="00C5606C" w:rsidRPr="00E01B5F" w:rsidRDefault="00363960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</w:t>
            </w:r>
            <w:r w:rsidR="00DF11FD">
              <w:rPr>
                <w:rFonts w:ascii="Cambria" w:eastAsia="Times New Roman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37AB11" w14:textId="60FE155B" w:rsidR="00C5606C" w:rsidRPr="00E01B5F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AA99B2" w14:textId="08AB572F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62.5</w:t>
            </w:r>
            <w:r w:rsidR="00C5606C" w:rsidRPr="00E01B5F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%</w:t>
            </w:r>
          </w:p>
        </w:tc>
      </w:tr>
      <w:tr w:rsidR="00DF11FD" w:rsidRPr="00E01B5F" w14:paraId="745F6B76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0713C4CF" w14:textId="50A2380A" w:rsidR="00DF11FD" w:rsidRPr="00E01B5F" w:rsidRDefault="00DF11FD" w:rsidP="00EC6281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Sciences et Techniques des activités physiques et sportives – jeunesse et loisirs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1C71F3A5" w14:textId="7A4CA508" w:rsidR="00DF11FD" w:rsidRDefault="00DF11FD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14:paraId="5A9CCE7E" w14:textId="45BCA46B" w:rsidR="00DF11FD" w:rsidRPr="00F75105" w:rsidRDefault="00D17487" w:rsidP="00EC628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4CAA9189" w14:textId="3FB09007" w:rsidR="00DF11FD" w:rsidRDefault="00DF11FD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E25D6" w14:textId="69641618" w:rsidR="00DF11FD" w:rsidRDefault="00DF11FD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1E6041" w14:textId="303C4AB7" w:rsidR="00DF11FD" w:rsidRPr="00E01B5F" w:rsidRDefault="00D17487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100%</w:t>
            </w:r>
          </w:p>
        </w:tc>
      </w:tr>
      <w:tr w:rsidR="00C5606C" w:rsidRPr="00E01B5F" w14:paraId="560F8C24" w14:textId="77777777" w:rsidTr="00EC6281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bottom"/>
          </w:tcPr>
          <w:p w14:paraId="43D11AD6" w14:textId="77777777" w:rsidR="00C5606C" w:rsidRPr="00E01B5F" w:rsidRDefault="00C5606C" w:rsidP="00EC6281">
            <w:pPr>
              <w:jc w:val="both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T</w:t>
            </w:r>
            <w:r w:rsidRPr="00E01B5F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47FF6CA4" w14:textId="041A0D5B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18" w:type="dxa"/>
            <w:vAlign w:val="center"/>
          </w:tcPr>
          <w:p w14:paraId="2CF7B4CF" w14:textId="61EFC099" w:rsidR="00C5606C" w:rsidRPr="00F75105" w:rsidRDefault="00363960" w:rsidP="00EC6281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F75105">
              <w:rPr>
                <w:rFonts w:ascii="Cambria" w:hAnsi="Cambria"/>
                <w:b/>
              </w:rPr>
              <w:t>0</w:t>
            </w:r>
            <w:r w:rsidR="00D17487" w:rsidRPr="00F75105">
              <w:rPr>
                <w:rFonts w:ascii="Cambria" w:hAnsi="Cambria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14:paraId="35E02BE3" w14:textId="1D58AA26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007043" w14:textId="3D51F430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DFC183" w14:textId="0A110F3C" w:rsidR="00C5606C" w:rsidRPr="00E01B5F" w:rsidRDefault="00D17487" w:rsidP="00EC6281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88,5</w:t>
            </w:r>
            <w:r w:rsidR="00C5606C" w:rsidRPr="00E01B5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2D801AD8" w14:textId="6398D87D" w:rsidR="00C5606C" w:rsidRPr="00E01B5F" w:rsidRDefault="00C5606C" w:rsidP="00C5606C">
      <w:pPr>
        <w:spacing w:line="276" w:lineRule="auto"/>
        <w:jc w:val="center"/>
        <w:rPr>
          <w:rFonts w:ascii="Cambria" w:hAnsi="Cambria" w:cs="Arial"/>
          <w:i/>
          <w:noProof/>
          <w:sz w:val="20"/>
          <w:szCs w:val="20"/>
        </w:rPr>
      </w:pPr>
      <w:r w:rsidRPr="00E01B5F">
        <w:rPr>
          <w:rFonts w:ascii="Cambria" w:hAnsi="Cambria" w:cs="Arial"/>
          <w:b/>
          <w:noProof/>
          <w:sz w:val="20"/>
          <w:szCs w:val="20"/>
        </w:rPr>
        <w:t>Source</w:t>
      </w:r>
      <w:r w:rsidRPr="00E01B5F">
        <w:rPr>
          <w:rFonts w:ascii="Cambria" w:hAnsi="Cambria" w:cs="Arial"/>
          <w:noProof/>
          <w:sz w:val="20"/>
          <w:szCs w:val="20"/>
        </w:rPr>
        <w:t xml:space="preserve">. </w:t>
      </w:r>
      <w:r w:rsidRPr="00E01B5F">
        <w:rPr>
          <w:rFonts w:ascii="Cambria" w:hAnsi="Cambria" w:cs="Arial"/>
          <w:i/>
          <w:noProof/>
          <w:sz w:val="20"/>
          <w:szCs w:val="20"/>
        </w:rPr>
        <w:t>www.lecames.org. Statistiqu</w:t>
      </w:r>
      <w:r w:rsidR="009505FC">
        <w:rPr>
          <w:rFonts w:ascii="Cambria" w:hAnsi="Cambria" w:cs="Arial"/>
          <w:i/>
          <w:noProof/>
          <w:sz w:val="20"/>
          <w:szCs w:val="20"/>
        </w:rPr>
        <w:t>es des candidatures aux CCI-2023</w:t>
      </w:r>
    </w:p>
    <w:p w14:paraId="26929B2D" w14:textId="77777777" w:rsidR="00C5606C" w:rsidRPr="00E01B5F" w:rsidRDefault="00C5606C" w:rsidP="00136892">
      <w:pPr>
        <w:spacing w:line="276" w:lineRule="auto"/>
        <w:jc w:val="both"/>
        <w:rPr>
          <w:rFonts w:ascii="Cambria" w:hAnsi="Cambria" w:cs="Arial"/>
          <w:color w:val="212529"/>
          <w:sz w:val="22"/>
          <w:szCs w:val="22"/>
        </w:rPr>
      </w:pPr>
    </w:p>
    <w:p w14:paraId="62E4E798" w14:textId="69875CF9" w:rsidR="004D2905" w:rsidRPr="006F5686" w:rsidRDefault="009505FC" w:rsidP="009505F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6F5686">
        <w:rPr>
          <w:rFonts w:ascii="Cambria" w:hAnsi="Cambria" w:cs="Arial"/>
          <w:sz w:val="22"/>
          <w:szCs w:val="22"/>
        </w:rPr>
        <w:t>En comparaison aux années précédentes, on note un</w:t>
      </w:r>
      <w:r w:rsidR="00B86820" w:rsidRPr="006F5686">
        <w:rPr>
          <w:rFonts w:ascii="Cambria" w:hAnsi="Cambria" w:cs="Arial"/>
          <w:sz w:val="22"/>
          <w:szCs w:val="22"/>
        </w:rPr>
        <w:t>e</w:t>
      </w:r>
      <w:r w:rsidRPr="006F5686">
        <w:rPr>
          <w:rFonts w:ascii="Cambria" w:hAnsi="Cambria" w:cs="Arial"/>
          <w:sz w:val="22"/>
          <w:szCs w:val="22"/>
        </w:rPr>
        <w:t xml:space="preserve"> progression régulière du nombre de candidatures et du nombre d’inscrits (figure 1)</w:t>
      </w:r>
    </w:p>
    <w:p w14:paraId="646FE9B2" w14:textId="5AF95F5E" w:rsidR="00446D14" w:rsidRDefault="00446D14" w:rsidP="00C5606C">
      <w:pPr>
        <w:spacing w:line="276" w:lineRule="auto"/>
        <w:jc w:val="center"/>
        <w:rPr>
          <w:rFonts w:ascii="Cambria" w:hAnsi="Cambria" w:cs="Arial"/>
          <w:b/>
          <w:noProof/>
          <w:sz w:val="20"/>
          <w:szCs w:val="20"/>
        </w:rPr>
      </w:pPr>
      <w:r w:rsidRPr="00446D14">
        <w:rPr>
          <w:rFonts w:ascii="Cambria" w:hAnsi="Cambria" w:cs="Arial"/>
          <w:b/>
          <w:noProof/>
          <w:sz w:val="20"/>
          <w:szCs w:val="20"/>
        </w:rPr>
        <w:lastRenderedPageBreak/>
        <w:drawing>
          <wp:inline distT="0" distB="0" distL="0" distR="0" wp14:anchorId="39EBD36E" wp14:editId="0F68CA45">
            <wp:extent cx="5756910" cy="3838820"/>
            <wp:effectExtent l="0" t="0" r="0" b="9525"/>
            <wp:docPr id="2" name="Image 2" descr="C:\Users\DRI_UCAD\Downloads\cam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_UCAD\Downloads\cames-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25D5" w14:textId="4A18E6CD" w:rsidR="00446D14" w:rsidRPr="00E01B5F" w:rsidRDefault="00446D14" w:rsidP="00446D14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</w:rPr>
        <w:t xml:space="preserve">Figure 1 : </w:t>
      </w:r>
      <w:r w:rsidRPr="00E01B5F">
        <w:rPr>
          <w:rFonts w:ascii="Cambria" w:hAnsi="Cambria" w:cs="Arial"/>
          <w:b/>
          <w:sz w:val="20"/>
          <w:szCs w:val="20"/>
        </w:rPr>
        <w:t xml:space="preserve">Tableau 2. </w:t>
      </w:r>
      <w:r>
        <w:rPr>
          <w:rFonts w:ascii="Cambria" w:hAnsi="Cambria" w:cs="Arial"/>
          <w:b/>
          <w:sz w:val="20"/>
          <w:szCs w:val="20"/>
        </w:rPr>
        <w:t xml:space="preserve">Taux de réussite </w:t>
      </w:r>
      <w:r w:rsidRPr="00E01B5F">
        <w:rPr>
          <w:rFonts w:ascii="Cambria" w:hAnsi="Cambria" w:cs="Arial"/>
          <w:b/>
          <w:sz w:val="20"/>
          <w:szCs w:val="20"/>
        </w:rPr>
        <w:t>des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="0076502F" w:rsidRPr="0076502F">
        <w:rPr>
          <w:rFonts w:ascii="Cambria" w:hAnsi="Cambria" w:cs="Arial"/>
          <w:b/>
          <w:sz w:val="20"/>
          <w:szCs w:val="20"/>
        </w:rPr>
        <w:t>sept</w:t>
      </w:r>
      <w:r>
        <w:rPr>
          <w:rFonts w:ascii="Cambria" w:hAnsi="Cambria" w:cs="Arial"/>
          <w:b/>
          <w:sz w:val="20"/>
          <w:szCs w:val="20"/>
        </w:rPr>
        <w:t xml:space="preserve"> dernières années (2017-2023</w:t>
      </w:r>
      <w:r w:rsidRPr="00E01B5F">
        <w:rPr>
          <w:rFonts w:ascii="Cambria" w:hAnsi="Cambria" w:cs="Arial"/>
          <w:b/>
          <w:sz w:val="20"/>
          <w:szCs w:val="20"/>
        </w:rPr>
        <w:t>)</w:t>
      </w:r>
    </w:p>
    <w:p w14:paraId="4B821B35" w14:textId="5E8DA52F" w:rsidR="00D17487" w:rsidRDefault="00C5606C" w:rsidP="0076502F">
      <w:pPr>
        <w:spacing w:line="276" w:lineRule="auto"/>
        <w:jc w:val="center"/>
        <w:rPr>
          <w:rFonts w:ascii="Cambria" w:hAnsi="Cambria" w:cs="Arial"/>
          <w:i/>
          <w:noProof/>
          <w:sz w:val="20"/>
          <w:szCs w:val="20"/>
        </w:rPr>
      </w:pPr>
      <w:r w:rsidRPr="00E01B5F">
        <w:rPr>
          <w:rFonts w:ascii="Cambria" w:hAnsi="Cambria" w:cs="Arial"/>
          <w:b/>
          <w:noProof/>
          <w:sz w:val="20"/>
          <w:szCs w:val="20"/>
        </w:rPr>
        <w:t>Source</w:t>
      </w:r>
      <w:r w:rsidRPr="00E01B5F">
        <w:rPr>
          <w:rFonts w:ascii="Cambria" w:hAnsi="Cambria" w:cs="Arial"/>
          <w:noProof/>
          <w:sz w:val="20"/>
          <w:szCs w:val="20"/>
        </w:rPr>
        <w:t xml:space="preserve">. </w:t>
      </w:r>
      <w:r w:rsidRPr="00E01B5F">
        <w:rPr>
          <w:rFonts w:ascii="Cambria" w:hAnsi="Cambria" w:cs="Arial"/>
          <w:i/>
          <w:noProof/>
          <w:sz w:val="20"/>
          <w:szCs w:val="20"/>
        </w:rPr>
        <w:t>www.lecames.org. Statistiques de</w:t>
      </w:r>
      <w:r w:rsidR="009505FC">
        <w:rPr>
          <w:rFonts w:ascii="Cambria" w:hAnsi="Cambria" w:cs="Arial"/>
          <w:i/>
          <w:noProof/>
          <w:sz w:val="20"/>
          <w:szCs w:val="20"/>
        </w:rPr>
        <w:t>s candidatures aux CCI 2018-2023</w:t>
      </w:r>
    </w:p>
    <w:p w14:paraId="7B06DC21" w14:textId="77777777" w:rsidR="0076502F" w:rsidRPr="0076502F" w:rsidRDefault="0076502F" w:rsidP="0076502F">
      <w:pPr>
        <w:spacing w:line="276" w:lineRule="auto"/>
        <w:jc w:val="center"/>
        <w:rPr>
          <w:rFonts w:ascii="Cambria" w:hAnsi="Cambria" w:cs="Arial"/>
          <w:i/>
          <w:noProof/>
          <w:sz w:val="20"/>
          <w:szCs w:val="20"/>
        </w:rPr>
      </w:pPr>
    </w:p>
    <w:p w14:paraId="1B8796DA" w14:textId="0906A5F6" w:rsidR="006B3FEF" w:rsidRDefault="009505FC" w:rsidP="00FA676A">
      <w:pPr>
        <w:spacing w:after="100" w:afterAutospacing="1"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Pour cette année, l’UCAD n’a pas présenté de candidat pour les grades de Directeur de Recherche et Maître de recherche. </w:t>
      </w:r>
      <w:r w:rsidR="006B3FEF">
        <w:rPr>
          <w:rFonts w:ascii="Cambria" w:hAnsi="Cambria" w:cs="Arial"/>
          <w:sz w:val="22"/>
          <w:szCs w:val="22"/>
        </w:rPr>
        <w:t>Le taux d’inscription le plus élevé a été noté pour le grade de Maître-Assistant avec 92% et plus faible pour le grade de Professeur titulaire (Tableau 2).</w:t>
      </w:r>
    </w:p>
    <w:p w14:paraId="2B61CEBE" w14:textId="02BCA912" w:rsidR="00D34F2B" w:rsidRPr="00013BBD" w:rsidRDefault="00D17487" w:rsidP="00013BBD">
      <w:pPr>
        <w:spacing w:line="276" w:lineRule="auto"/>
        <w:jc w:val="center"/>
        <w:rPr>
          <w:rFonts w:ascii="Cambria" w:hAnsi="Cambria" w:cs="Arial"/>
          <w:b/>
          <w:noProof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</w:rPr>
        <w:t>Tableau 2</w:t>
      </w:r>
      <w:r w:rsidR="00066C1A">
        <w:rPr>
          <w:rFonts w:ascii="Cambria" w:hAnsi="Cambria" w:cs="Arial"/>
          <w:b/>
          <w:noProof/>
          <w:sz w:val="20"/>
          <w:szCs w:val="20"/>
        </w:rPr>
        <w:t>. Nombre de candidats et t</w:t>
      </w:r>
      <w:r w:rsidR="00013BBD" w:rsidRPr="00E01B5F">
        <w:rPr>
          <w:rFonts w:ascii="Cambria" w:hAnsi="Cambria" w:cs="Arial"/>
          <w:b/>
          <w:noProof/>
          <w:sz w:val="20"/>
          <w:szCs w:val="20"/>
        </w:rPr>
        <w:t>aux de r</w:t>
      </w:r>
      <w:r w:rsidR="00013BBD">
        <w:rPr>
          <w:rFonts w:ascii="Cambria" w:hAnsi="Cambria" w:cs="Arial"/>
          <w:b/>
          <w:noProof/>
          <w:sz w:val="20"/>
          <w:szCs w:val="20"/>
        </w:rPr>
        <w:t>é</w:t>
      </w:r>
      <w:r w:rsidR="00013BBD" w:rsidRPr="00E01B5F">
        <w:rPr>
          <w:rFonts w:ascii="Cambria" w:hAnsi="Cambria" w:cs="Arial"/>
          <w:b/>
          <w:noProof/>
          <w:sz w:val="20"/>
          <w:szCs w:val="20"/>
        </w:rPr>
        <w:t>ussite selon le grade postulé en 2022</w:t>
      </w:r>
    </w:p>
    <w:tbl>
      <w:tblPr>
        <w:tblW w:w="99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82"/>
        <w:gridCol w:w="1418"/>
        <w:gridCol w:w="1417"/>
        <w:gridCol w:w="1134"/>
        <w:gridCol w:w="993"/>
      </w:tblGrid>
      <w:tr w:rsidR="00D34F2B" w:rsidRPr="00E01B5F" w14:paraId="4533CAA9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CCFFFF"/>
            <w:noWrap/>
            <w:vAlign w:val="center"/>
            <w:hideMark/>
          </w:tcPr>
          <w:p w14:paraId="7335A501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Années</w:t>
            </w:r>
          </w:p>
        </w:tc>
        <w:tc>
          <w:tcPr>
            <w:tcW w:w="1182" w:type="dxa"/>
            <w:shd w:val="clear" w:color="auto" w:fill="CCFFFF"/>
            <w:noWrap/>
            <w:vAlign w:val="center"/>
            <w:hideMark/>
          </w:tcPr>
          <w:p w14:paraId="6C07FCF7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Candidats présentés</w:t>
            </w:r>
          </w:p>
        </w:tc>
        <w:tc>
          <w:tcPr>
            <w:tcW w:w="1418" w:type="dxa"/>
            <w:shd w:val="clear" w:color="auto" w:fill="CCFFFF"/>
          </w:tcPr>
          <w:p w14:paraId="09807543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Candidatures irrecevables</w:t>
            </w:r>
          </w:p>
        </w:tc>
        <w:tc>
          <w:tcPr>
            <w:tcW w:w="1417" w:type="dxa"/>
            <w:shd w:val="clear" w:color="auto" w:fill="CCFFFF"/>
          </w:tcPr>
          <w:p w14:paraId="201F439D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Candidatures examinées</w:t>
            </w:r>
          </w:p>
        </w:tc>
        <w:tc>
          <w:tcPr>
            <w:tcW w:w="1134" w:type="dxa"/>
            <w:shd w:val="clear" w:color="auto" w:fill="CCFFFF"/>
            <w:noWrap/>
            <w:vAlign w:val="center"/>
            <w:hideMark/>
          </w:tcPr>
          <w:p w14:paraId="6A71A152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Nombre d’inscrits</w:t>
            </w:r>
          </w:p>
        </w:tc>
        <w:tc>
          <w:tcPr>
            <w:tcW w:w="993" w:type="dxa"/>
            <w:shd w:val="clear" w:color="auto" w:fill="CCFFFF"/>
            <w:noWrap/>
            <w:vAlign w:val="center"/>
            <w:hideMark/>
          </w:tcPr>
          <w:p w14:paraId="2446A4FA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 xml:space="preserve">Taux de réussite </w:t>
            </w:r>
          </w:p>
        </w:tc>
      </w:tr>
      <w:tr w:rsidR="00013BBD" w:rsidRPr="00E01B5F" w14:paraId="471324C6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1224CFCF" w14:textId="27DC7C99" w:rsidR="00013BBD" w:rsidRPr="00614736" w:rsidRDefault="00013BBD" w:rsidP="00BE5337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Professeur titulaire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2944E4C9" w14:textId="585680EC" w:rsidR="00013BBD" w:rsidRPr="00614736" w:rsidRDefault="00F63B8F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14:paraId="5309A96B" w14:textId="333AF665" w:rsidR="00013BBD" w:rsidRPr="00F75105" w:rsidRDefault="00363960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A2831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4B542C4" w14:textId="431219EF" w:rsidR="00013BBD" w:rsidRPr="00614736" w:rsidRDefault="004172DF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CF2B54" w14:textId="59EC800F" w:rsidR="00013BBD" w:rsidRPr="00614736" w:rsidRDefault="004172DF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BDEBFD" w14:textId="79E12418" w:rsidR="00013BBD" w:rsidRPr="00E01B5F" w:rsidRDefault="009505FC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75.6</w:t>
            </w:r>
            <w:r w:rsidR="00013BBD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D34F2B" w:rsidRPr="00E01B5F" w14:paraId="3F4460B1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6EF285F1" w14:textId="53035CF2" w:rsidR="00D34F2B" w:rsidRPr="00614736" w:rsidRDefault="00013BBD" w:rsidP="00BE5337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Maître de conférences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69095281" w14:textId="49E102A7" w:rsidR="00D34F2B" w:rsidRPr="00614736" w:rsidRDefault="00F63B8F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14:paraId="25AF04B1" w14:textId="15DB6E26" w:rsidR="00D34F2B" w:rsidRPr="00F75105" w:rsidRDefault="003A2831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63960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653CE5F" w14:textId="125C74F5" w:rsidR="00D34F2B" w:rsidRPr="00614736" w:rsidRDefault="003E393D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0E4B6" w14:textId="5097AC89" w:rsidR="00D34F2B" w:rsidRPr="00614736" w:rsidRDefault="001247BD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F2D78F" w14:textId="0987D1EC" w:rsidR="00D34F2B" w:rsidRPr="00E01B5F" w:rsidRDefault="006B3FEF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91.5</w:t>
            </w:r>
            <w:r w:rsidR="00D34F2B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%</w:t>
            </w:r>
          </w:p>
        </w:tc>
      </w:tr>
      <w:tr w:rsidR="00D34F2B" w:rsidRPr="00E01B5F" w14:paraId="4623DA9E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0F783321" w14:textId="4B0E282A" w:rsidR="00D34F2B" w:rsidRPr="00614736" w:rsidRDefault="00013BBD" w:rsidP="00BE5337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Maître-assistant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114E2400" w14:textId="39537D85" w:rsidR="00D34F2B" w:rsidRPr="00614736" w:rsidRDefault="00F63B8F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14:paraId="7DC7D183" w14:textId="503800B7" w:rsidR="00D34F2B" w:rsidRPr="00F75105" w:rsidRDefault="00363960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F75105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5BD93A9" w14:textId="0C0C5F36" w:rsidR="00D34F2B" w:rsidRPr="00614736" w:rsidRDefault="003E393D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AB04" w14:textId="045B38C6" w:rsidR="00D34F2B" w:rsidRPr="00614736" w:rsidRDefault="009505FC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6B6C3B" w14:textId="15E7CC00" w:rsidR="00D34F2B" w:rsidRPr="00E01B5F" w:rsidRDefault="009505FC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92.2</w:t>
            </w:r>
            <w:r w:rsidR="00D34F2B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D34F2B" w:rsidRPr="00E01B5F" w14:paraId="07DC0C4D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bottom"/>
          </w:tcPr>
          <w:p w14:paraId="6886A84D" w14:textId="784A6E38" w:rsidR="00D34F2B" w:rsidRPr="00614736" w:rsidRDefault="00013BBD" w:rsidP="00BE5337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Chargé de recherche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10F38810" w14:textId="33D18FB6" w:rsidR="00D34F2B" w:rsidRPr="00614736" w:rsidRDefault="00F63B8F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vAlign w:val="center"/>
          </w:tcPr>
          <w:p w14:paraId="69B78B7A" w14:textId="557FCF30" w:rsidR="00D34F2B" w:rsidRPr="00F75105" w:rsidRDefault="00D34F2B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63960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16EB3F7" w14:textId="400318B1" w:rsidR="00D34F2B" w:rsidRPr="00614736" w:rsidRDefault="00D17487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FAF31B" w14:textId="40703529" w:rsidR="00D34F2B" w:rsidRPr="00614736" w:rsidRDefault="00D17487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4D2DA0" w14:textId="5A7EC644" w:rsidR="00D34F2B" w:rsidRPr="00E01B5F" w:rsidRDefault="009505FC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80</w:t>
            </w:r>
            <w:r w:rsidR="00D34F2B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D34F2B" w:rsidRPr="00E01B5F" w14:paraId="39108A69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bottom"/>
          </w:tcPr>
          <w:p w14:paraId="7672985F" w14:textId="77777777" w:rsidR="00D34F2B" w:rsidRPr="00614736" w:rsidRDefault="00D34F2B" w:rsidP="00BE5337">
            <w:pPr>
              <w:jc w:val="both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T</w:t>
            </w:r>
            <w:r w:rsidRPr="00614736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254C58FE" w14:textId="3B902811" w:rsidR="00D34F2B" w:rsidRPr="00614736" w:rsidRDefault="00F63B8F" w:rsidP="00BE5337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18" w:type="dxa"/>
            <w:vAlign w:val="center"/>
          </w:tcPr>
          <w:p w14:paraId="7CFED213" w14:textId="50A5D60A" w:rsidR="00D34F2B" w:rsidRPr="00F75105" w:rsidRDefault="00363960" w:rsidP="00BE5337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F75105">
              <w:rPr>
                <w:rFonts w:ascii="Cambria" w:hAnsi="Cambria"/>
                <w:b/>
              </w:rPr>
              <w:t>0</w:t>
            </w:r>
            <w:r w:rsidR="009505FC" w:rsidRPr="00F75105">
              <w:rPr>
                <w:rFonts w:ascii="Cambria" w:hAnsi="Cambria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14:paraId="56CE1FE2" w14:textId="42922059" w:rsidR="00D34F2B" w:rsidRPr="00614736" w:rsidRDefault="00D34F2B" w:rsidP="00F63B8F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</w:t>
            </w:r>
            <w:r w:rsidR="00F63B8F"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A9FA0B" w14:textId="5F0BE2E5" w:rsidR="00D34F2B" w:rsidRPr="00614736" w:rsidRDefault="00D34F2B" w:rsidP="00BE5337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</w:t>
            </w:r>
            <w:r w:rsidR="00F63B8F"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EA42C6" w14:textId="003F8FE4" w:rsidR="00D34F2B" w:rsidRPr="00E01B5F" w:rsidRDefault="00F63B8F" w:rsidP="00BE5337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88,5</w:t>
            </w:r>
            <w:r w:rsidR="00D34F2B" w:rsidRPr="00E01B5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1EEF53A4" w14:textId="77777777" w:rsidR="00C5606C" w:rsidRPr="00E01B5F" w:rsidRDefault="00C5606C" w:rsidP="00C5606C">
      <w:pPr>
        <w:spacing w:line="276" w:lineRule="auto"/>
        <w:jc w:val="center"/>
        <w:rPr>
          <w:rFonts w:ascii="Cambria" w:hAnsi="Cambria" w:cs="Arial"/>
          <w:i/>
          <w:noProof/>
          <w:sz w:val="20"/>
          <w:szCs w:val="20"/>
        </w:rPr>
      </w:pPr>
      <w:r w:rsidRPr="00E01B5F">
        <w:rPr>
          <w:rFonts w:ascii="Cambria" w:hAnsi="Cambria" w:cs="Arial"/>
          <w:b/>
          <w:noProof/>
          <w:sz w:val="20"/>
          <w:szCs w:val="20"/>
        </w:rPr>
        <w:t>Source</w:t>
      </w:r>
      <w:r w:rsidRPr="00E01B5F">
        <w:rPr>
          <w:rFonts w:ascii="Cambria" w:hAnsi="Cambria" w:cs="Arial"/>
          <w:noProof/>
          <w:sz w:val="20"/>
          <w:szCs w:val="20"/>
        </w:rPr>
        <w:t xml:space="preserve">. </w:t>
      </w:r>
      <w:r w:rsidRPr="00E01B5F">
        <w:rPr>
          <w:rFonts w:ascii="Cambria" w:hAnsi="Cambria" w:cs="Arial"/>
          <w:i/>
          <w:noProof/>
          <w:sz w:val="20"/>
          <w:szCs w:val="20"/>
        </w:rPr>
        <w:t xml:space="preserve">www. Lecames.org. Statistiques des candidatures </w:t>
      </w:r>
      <w:bookmarkStart w:id="1" w:name="_GoBack"/>
      <w:bookmarkEnd w:id="1"/>
      <w:r w:rsidRPr="00E01B5F">
        <w:rPr>
          <w:rFonts w:ascii="Cambria" w:hAnsi="Cambria" w:cs="Arial"/>
          <w:i/>
          <w:noProof/>
          <w:sz w:val="20"/>
          <w:szCs w:val="20"/>
        </w:rPr>
        <w:t>aux CCI 2022</w:t>
      </w:r>
    </w:p>
    <w:p w14:paraId="3C6F7249" w14:textId="77777777" w:rsidR="006B3FEF" w:rsidRDefault="006B3FEF" w:rsidP="00C5606C">
      <w:pPr>
        <w:spacing w:line="276" w:lineRule="auto"/>
        <w:jc w:val="both"/>
        <w:rPr>
          <w:rFonts w:ascii="Cambria" w:hAnsi="Cambria" w:cs="Arial"/>
          <w:noProof/>
        </w:rPr>
      </w:pPr>
    </w:p>
    <w:p w14:paraId="50F0537E" w14:textId="179ECF37" w:rsidR="00EC6859" w:rsidRPr="00F75105" w:rsidRDefault="00066C1A" w:rsidP="00066C1A">
      <w:pPr>
        <w:spacing w:line="276" w:lineRule="auto"/>
        <w:jc w:val="both"/>
        <w:rPr>
          <w:rFonts w:ascii="Cambria" w:hAnsi="Cambria" w:cs="Arial"/>
          <w:noProof/>
        </w:rPr>
      </w:pPr>
      <w:r w:rsidRPr="00F75105">
        <w:rPr>
          <w:rFonts w:ascii="Cambria" w:hAnsi="Cambria" w:cs="Arial"/>
          <w:noProof/>
        </w:rPr>
        <w:t xml:space="preserve">Ces résultats mettent en évidence la qualité de nos enseignants-chercheurs </w:t>
      </w:r>
      <w:r w:rsidR="00580CF0" w:rsidRPr="00F75105">
        <w:rPr>
          <w:rFonts w:ascii="Cambria" w:hAnsi="Cambria" w:cs="Arial"/>
          <w:noProof/>
        </w:rPr>
        <w:t>et</w:t>
      </w:r>
      <w:r w:rsidRPr="00F75105">
        <w:rPr>
          <w:rFonts w:ascii="Cambria" w:hAnsi="Cambria" w:cs="Arial"/>
          <w:noProof/>
        </w:rPr>
        <w:t xml:space="preserve"> </w:t>
      </w:r>
      <w:r w:rsidR="00FD4F40" w:rsidRPr="00F75105">
        <w:rPr>
          <w:rFonts w:ascii="Cambria" w:hAnsi="Cambria" w:cs="Arial"/>
          <w:noProof/>
        </w:rPr>
        <w:t>de l</w:t>
      </w:r>
      <w:r w:rsidRPr="00F75105">
        <w:rPr>
          <w:rFonts w:ascii="Cambria" w:hAnsi="Cambria" w:cs="Arial"/>
          <w:noProof/>
        </w:rPr>
        <w:t>’accompagnement institutionnel</w:t>
      </w:r>
      <w:r w:rsidR="00657E5D" w:rsidRPr="00F75105">
        <w:rPr>
          <w:rFonts w:ascii="Cambria" w:hAnsi="Cambria" w:cs="Arial"/>
          <w:noProof/>
        </w:rPr>
        <w:t xml:space="preserve">. </w:t>
      </w:r>
      <w:r w:rsidR="00922E1F" w:rsidRPr="00F75105">
        <w:rPr>
          <w:rFonts w:ascii="Cambria" w:hAnsi="Cambria" w:cs="Arial"/>
          <w:noProof/>
        </w:rPr>
        <w:t>Ce suivi institutionnel</w:t>
      </w:r>
      <w:r w:rsidRPr="00F75105">
        <w:rPr>
          <w:rFonts w:ascii="Cambria" w:hAnsi="Cambria" w:cs="Arial"/>
          <w:noProof/>
        </w:rPr>
        <w:t xml:space="preserve"> pourrait être sensiblement amélioré pour atteindre de plus grandes performances.</w:t>
      </w:r>
    </w:p>
    <w:sectPr w:rsidR="00EC6859" w:rsidRPr="00F75105" w:rsidSect="00EC6859">
      <w:footerReference w:type="even" r:id="rId9"/>
      <w:footerReference w:type="default" r:id="rId10"/>
      <w:pgSz w:w="11900" w:h="16840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990E6" w14:textId="77777777" w:rsidR="00421BCC" w:rsidRDefault="00421BCC">
      <w:r>
        <w:separator/>
      </w:r>
    </w:p>
  </w:endnote>
  <w:endnote w:type="continuationSeparator" w:id="0">
    <w:p w14:paraId="326EFE3E" w14:textId="77777777" w:rsidR="00421BCC" w:rsidRDefault="0042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OldStyle">
    <w:altName w:val="Bookman Old Styl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84A69" w14:textId="77777777" w:rsidR="00D45381" w:rsidRDefault="000F10DD" w:rsidP="00D4538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4B627B" w14:textId="77777777" w:rsidR="00D45381" w:rsidRDefault="00421BCC" w:rsidP="006301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171E" w14:textId="4161C1C5" w:rsidR="00D45381" w:rsidRPr="00BD28C1" w:rsidRDefault="000F10DD" w:rsidP="00D45381">
    <w:pPr>
      <w:pStyle w:val="Pieddepage"/>
      <w:framePr w:wrap="around" w:vAnchor="text" w:hAnchor="margin" w:xAlign="right" w:y="1"/>
      <w:rPr>
        <w:rStyle w:val="Numrodepage"/>
        <w:sz w:val="22"/>
        <w:szCs w:val="22"/>
      </w:rPr>
    </w:pPr>
    <w:r w:rsidRPr="00BD28C1">
      <w:rPr>
        <w:rStyle w:val="Numrodepage"/>
        <w:sz w:val="22"/>
        <w:szCs w:val="22"/>
      </w:rPr>
      <w:fldChar w:fldCharType="begin"/>
    </w:r>
    <w:r w:rsidRPr="00BD28C1">
      <w:rPr>
        <w:rStyle w:val="Numrodepage"/>
        <w:sz w:val="22"/>
        <w:szCs w:val="22"/>
      </w:rPr>
      <w:instrText xml:space="preserve">PAGE  </w:instrText>
    </w:r>
    <w:r w:rsidRPr="00BD28C1">
      <w:rPr>
        <w:rStyle w:val="Numrodepage"/>
        <w:sz w:val="22"/>
        <w:szCs w:val="22"/>
      </w:rPr>
      <w:fldChar w:fldCharType="separate"/>
    </w:r>
    <w:r w:rsidR="00747947">
      <w:rPr>
        <w:rStyle w:val="Numrodepage"/>
        <w:noProof/>
        <w:sz w:val="22"/>
        <w:szCs w:val="22"/>
      </w:rPr>
      <w:t>1</w:t>
    </w:r>
    <w:r w:rsidRPr="00BD28C1">
      <w:rPr>
        <w:rStyle w:val="Numrodepage"/>
        <w:sz w:val="22"/>
        <w:szCs w:val="22"/>
      </w:rPr>
      <w:fldChar w:fldCharType="end"/>
    </w:r>
    <w:r w:rsidR="00A60D96">
      <w:rPr>
        <w:rStyle w:val="Numrodepage"/>
        <w:sz w:val="22"/>
        <w:szCs w:val="22"/>
      </w:rPr>
      <w:t>/</w:t>
    </w:r>
    <w:r w:rsidR="00013BBD">
      <w:rPr>
        <w:rStyle w:val="Numrodepage"/>
        <w:sz w:val="22"/>
        <w:szCs w:val="22"/>
      </w:rPr>
      <w:t>2</w:t>
    </w:r>
  </w:p>
  <w:p w14:paraId="74898953" w14:textId="77777777" w:rsidR="00D45381" w:rsidRDefault="00421BCC" w:rsidP="006301B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CA130" w14:textId="77777777" w:rsidR="00421BCC" w:rsidRDefault="00421BCC">
      <w:r>
        <w:separator/>
      </w:r>
    </w:p>
  </w:footnote>
  <w:footnote w:type="continuationSeparator" w:id="0">
    <w:p w14:paraId="7EBC6539" w14:textId="77777777" w:rsidR="00421BCC" w:rsidRDefault="0042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151E4"/>
    <w:multiLevelType w:val="hybridMultilevel"/>
    <w:tmpl w:val="D16CC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DD"/>
    <w:rsid w:val="00013BBD"/>
    <w:rsid w:val="00026253"/>
    <w:rsid w:val="00066C1A"/>
    <w:rsid w:val="000D1417"/>
    <w:rsid w:val="000F10DD"/>
    <w:rsid w:val="000F61EF"/>
    <w:rsid w:val="001247BD"/>
    <w:rsid w:val="00136892"/>
    <w:rsid w:val="00156290"/>
    <w:rsid w:val="001A6C60"/>
    <w:rsid w:val="001D7D28"/>
    <w:rsid w:val="00231967"/>
    <w:rsid w:val="00243A52"/>
    <w:rsid w:val="00270150"/>
    <w:rsid w:val="003570D7"/>
    <w:rsid w:val="00363960"/>
    <w:rsid w:val="00373845"/>
    <w:rsid w:val="003910A5"/>
    <w:rsid w:val="003A2831"/>
    <w:rsid w:val="003B5001"/>
    <w:rsid w:val="003B63CC"/>
    <w:rsid w:val="003E393D"/>
    <w:rsid w:val="0040568F"/>
    <w:rsid w:val="00406ADF"/>
    <w:rsid w:val="004172DF"/>
    <w:rsid w:val="0042117E"/>
    <w:rsid w:val="00421BCC"/>
    <w:rsid w:val="00446D14"/>
    <w:rsid w:val="00457E65"/>
    <w:rsid w:val="004A2D2D"/>
    <w:rsid w:val="004B258A"/>
    <w:rsid w:val="004D2905"/>
    <w:rsid w:val="00580CF0"/>
    <w:rsid w:val="005C529A"/>
    <w:rsid w:val="00614736"/>
    <w:rsid w:val="0063074C"/>
    <w:rsid w:val="00657E5D"/>
    <w:rsid w:val="0066319F"/>
    <w:rsid w:val="00680C2B"/>
    <w:rsid w:val="006A102D"/>
    <w:rsid w:val="006B2E13"/>
    <w:rsid w:val="006B3ABE"/>
    <w:rsid w:val="006B3FEF"/>
    <w:rsid w:val="006E30DB"/>
    <w:rsid w:val="006F5686"/>
    <w:rsid w:val="0071194F"/>
    <w:rsid w:val="0071613E"/>
    <w:rsid w:val="007465D0"/>
    <w:rsid w:val="00747947"/>
    <w:rsid w:val="0076502F"/>
    <w:rsid w:val="00784F7D"/>
    <w:rsid w:val="0079025D"/>
    <w:rsid w:val="007B7E18"/>
    <w:rsid w:val="007E3C40"/>
    <w:rsid w:val="007E7C39"/>
    <w:rsid w:val="00835486"/>
    <w:rsid w:val="008365A6"/>
    <w:rsid w:val="0085686A"/>
    <w:rsid w:val="0089321A"/>
    <w:rsid w:val="008C6B85"/>
    <w:rsid w:val="008D3621"/>
    <w:rsid w:val="008F1344"/>
    <w:rsid w:val="008F4F39"/>
    <w:rsid w:val="008F537E"/>
    <w:rsid w:val="00922E1F"/>
    <w:rsid w:val="00933105"/>
    <w:rsid w:val="00940CCE"/>
    <w:rsid w:val="009505FC"/>
    <w:rsid w:val="009663D7"/>
    <w:rsid w:val="00A25200"/>
    <w:rsid w:val="00A379E1"/>
    <w:rsid w:val="00A44000"/>
    <w:rsid w:val="00A5333E"/>
    <w:rsid w:val="00A60D96"/>
    <w:rsid w:val="00A7634E"/>
    <w:rsid w:val="00AB2101"/>
    <w:rsid w:val="00AC77AB"/>
    <w:rsid w:val="00B30F1F"/>
    <w:rsid w:val="00B367B7"/>
    <w:rsid w:val="00B368EA"/>
    <w:rsid w:val="00B86820"/>
    <w:rsid w:val="00B93CDD"/>
    <w:rsid w:val="00BA38E6"/>
    <w:rsid w:val="00BA6CD2"/>
    <w:rsid w:val="00BD28C1"/>
    <w:rsid w:val="00BE09B0"/>
    <w:rsid w:val="00C04AB3"/>
    <w:rsid w:val="00C5606C"/>
    <w:rsid w:val="00C85844"/>
    <w:rsid w:val="00CC09C0"/>
    <w:rsid w:val="00CC4D75"/>
    <w:rsid w:val="00D107CB"/>
    <w:rsid w:val="00D15795"/>
    <w:rsid w:val="00D17487"/>
    <w:rsid w:val="00D1776E"/>
    <w:rsid w:val="00D34F2B"/>
    <w:rsid w:val="00DE0D92"/>
    <w:rsid w:val="00DF11FD"/>
    <w:rsid w:val="00E01B5F"/>
    <w:rsid w:val="00E14D88"/>
    <w:rsid w:val="00E2184D"/>
    <w:rsid w:val="00E52F8E"/>
    <w:rsid w:val="00EC6859"/>
    <w:rsid w:val="00F63B8F"/>
    <w:rsid w:val="00F75105"/>
    <w:rsid w:val="00F81480"/>
    <w:rsid w:val="00F85695"/>
    <w:rsid w:val="00F94B75"/>
    <w:rsid w:val="00FA676A"/>
    <w:rsid w:val="00FB1D3D"/>
    <w:rsid w:val="00FC3537"/>
    <w:rsid w:val="00FD4F40"/>
    <w:rsid w:val="00FE45C9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F521D"/>
  <w15:docId w15:val="{0DDA6260-6591-5843-A10E-95E950A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D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0D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F10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10DD"/>
    <w:rPr>
      <w:rFonts w:eastAsiaTheme="minorEastAsia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0F10DD"/>
  </w:style>
  <w:style w:type="paragraph" w:styleId="Textedebulles">
    <w:name w:val="Balloon Text"/>
    <w:basedOn w:val="Normal"/>
    <w:link w:val="TextedebullesCar"/>
    <w:uiPriority w:val="99"/>
    <w:semiHidden/>
    <w:unhideWhenUsed/>
    <w:rsid w:val="00A5333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33E"/>
    <w:rPr>
      <w:rFonts w:ascii="Lucida Grande" w:eastAsiaTheme="minorEastAsia" w:hAnsi="Lucida Grande" w:cs="Lucida Grande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663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63D7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LISHOU</dc:creator>
  <cp:keywords/>
  <dc:description/>
  <cp:lastModifiedBy>DRI_UCAD</cp:lastModifiedBy>
  <cp:revision>2</cp:revision>
  <dcterms:created xsi:type="dcterms:W3CDTF">2023-08-03T14:16:00Z</dcterms:created>
  <dcterms:modified xsi:type="dcterms:W3CDTF">2023-08-03T14:16:00Z</dcterms:modified>
</cp:coreProperties>
</file>