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9D306" w14:textId="77777777" w:rsidR="000F10DD" w:rsidRDefault="000F10DD" w:rsidP="000F10DD">
      <w:pPr>
        <w:jc w:val="both"/>
        <w:textAlignment w:val="baseline"/>
        <w:rPr>
          <w:rFonts w:ascii="Calibri" w:eastAsia="Times New Roman" w:hAnsi="Calibri" w:cs="Times New Roman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0" allowOverlap="1" wp14:anchorId="44F61AA9" wp14:editId="0A8514A9">
            <wp:simplePos x="0" y="0"/>
            <wp:positionH relativeFrom="page">
              <wp:posOffset>1105894</wp:posOffset>
            </wp:positionH>
            <wp:positionV relativeFrom="page">
              <wp:posOffset>1020694</wp:posOffset>
            </wp:positionV>
            <wp:extent cx="939165" cy="939165"/>
            <wp:effectExtent l="0" t="0" r="63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20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5400"/>
        <w:gridCol w:w="20"/>
      </w:tblGrid>
      <w:tr w:rsidR="000F10DD" w14:paraId="30D0D977" w14:textId="77777777" w:rsidTr="0085686A">
        <w:trPr>
          <w:trHeight w:val="504"/>
        </w:trPr>
        <w:tc>
          <w:tcPr>
            <w:tcW w:w="2260" w:type="dxa"/>
            <w:tcBorders>
              <w:right w:val="single" w:sz="18" w:space="0" w:color="5B9BD5" w:themeColor="accent5"/>
            </w:tcBorders>
            <w:vAlign w:val="bottom"/>
          </w:tcPr>
          <w:p w14:paraId="7CD16238" w14:textId="77777777" w:rsidR="000F10DD" w:rsidRDefault="000F10DD" w:rsidP="00684C80">
            <w:pPr>
              <w:rPr>
                <w:sz w:val="20"/>
                <w:szCs w:val="20"/>
              </w:rPr>
            </w:pPr>
            <w:bookmarkStart w:id="1" w:name="page1"/>
            <w:bookmarkEnd w:id="1"/>
            <w:r>
              <w:rPr>
                <w:rFonts w:ascii="Calibri" w:eastAsia="Calibri" w:hAnsi="Calibri" w:cs="Calibri"/>
                <w:b/>
                <w:bCs/>
                <w:sz w:val="27"/>
                <w:szCs w:val="27"/>
              </w:rPr>
              <w:t>UNIVERSITE</w:t>
            </w:r>
          </w:p>
        </w:tc>
        <w:tc>
          <w:tcPr>
            <w:tcW w:w="5400" w:type="dxa"/>
            <w:vMerge w:val="restart"/>
            <w:tcBorders>
              <w:left w:val="single" w:sz="18" w:space="0" w:color="5B9BD5" w:themeColor="accent5"/>
            </w:tcBorders>
            <w:vAlign w:val="bottom"/>
          </w:tcPr>
          <w:p w14:paraId="07B204C5" w14:textId="77777777" w:rsidR="000F10DD" w:rsidRPr="0071194F" w:rsidRDefault="000F10DD" w:rsidP="00684C80">
            <w:pPr>
              <w:ind w:left="160"/>
              <w:rPr>
                <w:rFonts w:ascii="Cambria" w:hAnsi="Cambria"/>
                <w:sz w:val="22"/>
                <w:szCs w:val="22"/>
              </w:rPr>
            </w:pPr>
            <w:r w:rsidRPr="0071194F">
              <w:rPr>
                <w:rFonts w:ascii="Cambria" w:eastAsia="Calibri" w:hAnsi="Cambria" w:cs="Calibri"/>
                <w:w w:val="99"/>
                <w:sz w:val="22"/>
                <w:szCs w:val="22"/>
              </w:rPr>
              <w:t>DIRECTION DE LA RECHERCHE ET DE L’INNOVATION</w:t>
            </w:r>
          </w:p>
        </w:tc>
        <w:tc>
          <w:tcPr>
            <w:tcW w:w="0" w:type="dxa"/>
            <w:vAlign w:val="bottom"/>
          </w:tcPr>
          <w:p w14:paraId="536DA7F2" w14:textId="77777777" w:rsidR="000F10DD" w:rsidRDefault="000F10DD" w:rsidP="00684C80">
            <w:pPr>
              <w:rPr>
                <w:sz w:val="1"/>
                <w:szCs w:val="1"/>
              </w:rPr>
            </w:pPr>
          </w:p>
        </w:tc>
      </w:tr>
      <w:tr w:rsidR="000F10DD" w14:paraId="5249768D" w14:textId="77777777" w:rsidTr="0085686A">
        <w:trPr>
          <w:trHeight w:val="147"/>
        </w:trPr>
        <w:tc>
          <w:tcPr>
            <w:tcW w:w="2260" w:type="dxa"/>
            <w:vMerge w:val="restart"/>
            <w:tcBorders>
              <w:right w:val="single" w:sz="18" w:space="0" w:color="5B9BD5" w:themeColor="accent5"/>
            </w:tcBorders>
            <w:vAlign w:val="bottom"/>
          </w:tcPr>
          <w:p w14:paraId="573368F2" w14:textId="77777777" w:rsidR="000F10DD" w:rsidRDefault="000F10DD" w:rsidP="00684C80">
            <w:pPr>
              <w:spacing w:line="32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7"/>
                <w:szCs w:val="27"/>
              </w:rPr>
              <w:t>CHEIKH ANTA DIOP</w:t>
            </w:r>
          </w:p>
        </w:tc>
        <w:tc>
          <w:tcPr>
            <w:tcW w:w="5400" w:type="dxa"/>
            <w:vMerge/>
            <w:tcBorders>
              <w:left w:val="single" w:sz="18" w:space="0" w:color="5B9BD5" w:themeColor="accent5"/>
            </w:tcBorders>
            <w:vAlign w:val="bottom"/>
          </w:tcPr>
          <w:p w14:paraId="6A4DE706" w14:textId="77777777" w:rsidR="000F10DD" w:rsidRDefault="000F10DD" w:rsidP="00684C80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9A4CC96" w14:textId="77777777" w:rsidR="000F10DD" w:rsidRDefault="000F10DD" w:rsidP="00684C80">
            <w:pPr>
              <w:rPr>
                <w:sz w:val="1"/>
                <w:szCs w:val="1"/>
              </w:rPr>
            </w:pPr>
          </w:p>
        </w:tc>
      </w:tr>
      <w:tr w:rsidR="000F10DD" w14:paraId="2DC10AB8" w14:textId="77777777" w:rsidTr="0085686A">
        <w:trPr>
          <w:trHeight w:val="176"/>
        </w:trPr>
        <w:tc>
          <w:tcPr>
            <w:tcW w:w="2260" w:type="dxa"/>
            <w:vMerge/>
            <w:tcBorders>
              <w:right w:val="single" w:sz="18" w:space="0" w:color="5B9BD5" w:themeColor="accent5"/>
            </w:tcBorders>
            <w:vAlign w:val="bottom"/>
          </w:tcPr>
          <w:p w14:paraId="6755D3D1" w14:textId="77777777" w:rsidR="000F10DD" w:rsidRDefault="000F10DD" w:rsidP="00684C80">
            <w:pPr>
              <w:rPr>
                <w:sz w:val="15"/>
                <w:szCs w:val="15"/>
              </w:rPr>
            </w:pPr>
          </w:p>
        </w:tc>
        <w:tc>
          <w:tcPr>
            <w:tcW w:w="5400" w:type="dxa"/>
            <w:vMerge w:val="restart"/>
            <w:tcBorders>
              <w:left w:val="single" w:sz="18" w:space="0" w:color="5B9BD5" w:themeColor="accent5"/>
            </w:tcBorders>
            <w:vAlign w:val="bottom"/>
          </w:tcPr>
          <w:p w14:paraId="62ABD589" w14:textId="77777777" w:rsidR="000F10DD" w:rsidRPr="0071194F" w:rsidRDefault="000F10DD" w:rsidP="00684C80">
            <w:pPr>
              <w:ind w:left="160"/>
              <w:rPr>
                <w:rFonts w:ascii="Britannic Bold" w:hAnsi="Britannic Bold"/>
                <w:sz w:val="20"/>
                <w:szCs w:val="20"/>
              </w:rPr>
            </w:pPr>
            <w:r w:rsidRPr="0071194F">
              <w:rPr>
                <w:rFonts w:ascii="Britannic Bold" w:eastAsia="Calibri" w:hAnsi="Britannic Bold" w:cs="Calibri"/>
                <w:bCs/>
                <w:sz w:val="25"/>
                <w:szCs w:val="25"/>
              </w:rPr>
              <w:t>RECTORAT</w:t>
            </w:r>
          </w:p>
        </w:tc>
        <w:tc>
          <w:tcPr>
            <w:tcW w:w="0" w:type="dxa"/>
            <w:vAlign w:val="bottom"/>
          </w:tcPr>
          <w:p w14:paraId="752BD616" w14:textId="77777777" w:rsidR="000F10DD" w:rsidRDefault="000F10DD" w:rsidP="00684C80">
            <w:pPr>
              <w:rPr>
                <w:sz w:val="1"/>
                <w:szCs w:val="1"/>
              </w:rPr>
            </w:pPr>
          </w:p>
        </w:tc>
      </w:tr>
      <w:tr w:rsidR="000F10DD" w14:paraId="6A464381" w14:textId="77777777" w:rsidTr="0085686A">
        <w:trPr>
          <w:trHeight w:val="190"/>
        </w:trPr>
        <w:tc>
          <w:tcPr>
            <w:tcW w:w="2260" w:type="dxa"/>
            <w:vMerge w:val="restart"/>
            <w:tcBorders>
              <w:right w:val="single" w:sz="18" w:space="0" w:color="5B9BD5" w:themeColor="accent5"/>
            </w:tcBorders>
            <w:vAlign w:val="bottom"/>
          </w:tcPr>
          <w:p w14:paraId="61C51114" w14:textId="77777777" w:rsidR="000F10DD" w:rsidRDefault="000F10DD" w:rsidP="00684C80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7"/>
                <w:szCs w:val="27"/>
              </w:rPr>
              <w:t>DE DAKAR</w:t>
            </w:r>
          </w:p>
        </w:tc>
        <w:tc>
          <w:tcPr>
            <w:tcW w:w="5400" w:type="dxa"/>
            <w:vMerge/>
            <w:tcBorders>
              <w:left w:val="single" w:sz="18" w:space="0" w:color="5B9BD5" w:themeColor="accent5"/>
            </w:tcBorders>
            <w:vAlign w:val="bottom"/>
          </w:tcPr>
          <w:p w14:paraId="602D1D1B" w14:textId="77777777" w:rsidR="000F10DD" w:rsidRDefault="000F10DD" w:rsidP="00684C80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DC283C7" w14:textId="77777777" w:rsidR="000F10DD" w:rsidRDefault="000F10DD" w:rsidP="00684C80">
            <w:pPr>
              <w:rPr>
                <w:sz w:val="1"/>
                <w:szCs w:val="1"/>
              </w:rPr>
            </w:pPr>
          </w:p>
        </w:tc>
      </w:tr>
      <w:tr w:rsidR="000F10DD" w14:paraId="6F18004C" w14:textId="77777777" w:rsidTr="0085686A">
        <w:trPr>
          <w:trHeight w:val="154"/>
        </w:trPr>
        <w:tc>
          <w:tcPr>
            <w:tcW w:w="2260" w:type="dxa"/>
            <w:vMerge/>
            <w:tcBorders>
              <w:right w:val="single" w:sz="18" w:space="0" w:color="5B9BD5" w:themeColor="accent5"/>
            </w:tcBorders>
            <w:vAlign w:val="bottom"/>
          </w:tcPr>
          <w:p w14:paraId="2498A061" w14:textId="77777777" w:rsidR="000F10DD" w:rsidRDefault="000F10DD" w:rsidP="00684C80">
            <w:pPr>
              <w:rPr>
                <w:sz w:val="13"/>
                <w:szCs w:val="13"/>
              </w:rPr>
            </w:pPr>
          </w:p>
        </w:tc>
        <w:tc>
          <w:tcPr>
            <w:tcW w:w="5400" w:type="dxa"/>
            <w:tcBorders>
              <w:left w:val="single" w:sz="18" w:space="0" w:color="5B9BD5" w:themeColor="accent5"/>
            </w:tcBorders>
            <w:vAlign w:val="bottom"/>
          </w:tcPr>
          <w:p w14:paraId="0E4D6E07" w14:textId="77777777" w:rsidR="000F10DD" w:rsidRDefault="000F10DD" w:rsidP="00684C80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4B82AC47" w14:textId="77777777" w:rsidR="000F10DD" w:rsidRDefault="000F10DD" w:rsidP="00684C80">
            <w:pPr>
              <w:rPr>
                <w:sz w:val="1"/>
                <w:szCs w:val="1"/>
              </w:rPr>
            </w:pPr>
          </w:p>
        </w:tc>
      </w:tr>
      <w:tr w:rsidR="000F10DD" w14:paraId="69C893B0" w14:textId="77777777" w:rsidTr="00684C80">
        <w:trPr>
          <w:trHeight w:val="47"/>
        </w:trPr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14:paraId="06D06204" w14:textId="77777777" w:rsidR="000F10DD" w:rsidRDefault="000F10DD" w:rsidP="00684C80">
            <w:pPr>
              <w:rPr>
                <w:sz w:val="4"/>
                <w:szCs w:val="4"/>
              </w:rPr>
            </w:pPr>
          </w:p>
        </w:tc>
        <w:tc>
          <w:tcPr>
            <w:tcW w:w="5400" w:type="dxa"/>
            <w:vAlign w:val="bottom"/>
          </w:tcPr>
          <w:p w14:paraId="034CF76B" w14:textId="77777777" w:rsidR="000F10DD" w:rsidRDefault="000F10DD" w:rsidP="00684C80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14:paraId="3ABC6DAF" w14:textId="77777777" w:rsidR="000F10DD" w:rsidRDefault="000F10DD" w:rsidP="00684C80">
            <w:pPr>
              <w:rPr>
                <w:sz w:val="1"/>
                <w:szCs w:val="1"/>
              </w:rPr>
            </w:pPr>
          </w:p>
        </w:tc>
      </w:tr>
    </w:tbl>
    <w:p w14:paraId="689A8E9F" w14:textId="28149B73" w:rsidR="0071194F" w:rsidRDefault="0071194F" w:rsidP="0071194F">
      <w:pPr>
        <w:spacing w:line="360" w:lineRule="auto"/>
        <w:rPr>
          <w:rFonts w:ascii="Arial" w:hAnsi="Arial" w:cs="Arial"/>
          <w:b/>
          <w:bCs/>
        </w:rPr>
      </w:pPr>
    </w:p>
    <w:p w14:paraId="399C5CE6" w14:textId="77777777" w:rsidR="00417FD5" w:rsidRPr="00417FD5" w:rsidRDefault="00417FD5" w:rsidP="0071194F">
      <w:pPr>
        <w:spacing w:line="360" w:lineRule="auto"/>
        <w:rPr>
          <w:rFonts w:ascii="Arial" w:hAnsi="Arial" w:cs="Arial"/>
          <w:b/>
          <w:bCs/>
          <w:sz w:val="10"/>
          <w:szCs w:val="10"/>
        </w:rPr>
      </w:pPr>
    </w:p>
    <w:p w14:paraId="1B7690CD" w14:textId="77777777" w:rsidR="0071194F" w:rsidRPr="001D5DF0" w:rsidRDefault="0071194F" w:rsidP="000F10DD">
      <w:pPr>
        <w:tabs>
          <w:tab w:val="left" w:pos="8931"/>
          <w:tab w:val="left" w:pos="9064"/>
        </w:tabs>
        <w:ind w:left="142" w:right="-8"/>
        <w:jc w:val="center"/>
        <w:rPr>
          <w:rFonts w:ascii="Arial Black" w:hAnsi="Arial Black" w:cs="Arial"/>
          <w:color w:val="2E74B5" w:themeColor="accent5" w:themeShade="BF"/>
          <w:sz w:val="15"/>
          <w:szCs w:val="15"/>
        </w:rPr>
      </w:pPr>
    </w:p>
    <w:p w14:paraId="3B80F8C1" w14:textId="77777777" w:rsidR="00417FD5" w:rsidRDefault="00720356" w:rsidP="001D5DF0">
      <w:pPr>
        <w:tabs>
          <w:tab w:val="left" w:pos="8931"/>
          <w:tab w:val="left" w:pos="9064"/>
        </w:tabs>
        <w:ind w:left="142" w:right="-8"/>
        <w:jc w:val="center"/>
        <w:rPr>
          <w:rFonts w:ascii="Britannic Bold" w:hAnsi="Britannic Bold" w:cs="Arial"/>
          <w:color w:val="0070C0"/>
          <w:sz w:val="28"/>
          <w:szCs w:val="28"/>
        </w:rPr>
      </w:pPr>
      <w:r w:rsidRPr="001D5DF0">
        <w:rPr>
          <w:rFonts w:ascii="Arial Black" w:hAnsi="Arial Black" w:cs="Arial"/>
          <w:b/>
          <w:color w:val="0070C0"/>
          <w:sz w:val="28"/>
          <w:szCs w:val="28"/>
        </w:rPr>
        <w:t>95,</w:t>
      </w:r>
      <w:r w:rsidR="00904ACC" w:rsidRPr="001D5DF0">
        <w:rPr>
          <w:rFonts w:ascii="Arial Black" w:hAnsi="Arial Black" w:cs="Arial"/>
          <w:b/>
          <w:color w:val="0070C0"/>
          <w:sz w:val="28"/>
          <w:szCs w:val="28"/>
        </w:rPr>
        <w:t>9</w:t>
      </w:r>
      <w:r w:rsidR="00F70D1A" w:rsidRPr="001D5DF0">
        <w:rPr>
          <w:rFonts w:ascii="Arial Black" w:hAnsi="Arial Black" w:cs="Arial"/>
          <w:b/>
          <w:color w:val="0070C0"/>
          <w:sz w:val="28"/>
          <w:szCs w:val="28"/>
        </w:rPr>
        <w:t>%</w:t>
      </w:r>
      <w:r w:rsidR="006F5686" w:rsidRPr="001D5DF0">
        <w:rPr>
          <w:rFonts w:ascii="Britannic Bold" w:hAnsi="Britannic Bold" w:cs="Arial"/>
          <w:color w:val="0070C0"/>
          <w:sz w:val="28"/>
          <w:szCs w:val="28"/>
        </w:rPr>
        <w:t xml:space="preserve"> </w:t>
      </w:r>
      <w:r w:rsidR="00417FD5">
        <w:rPr>
          <w:rFonts w:ascii="Britannic Bold" w:hAnsi="Britannic Bold" w:cs="Arial"/>
          <w:color w:val="0070C0"/>
          <w:sz w:val="28"/>
          <w:szCs w:val="28"/>
        </w:rPr>
        <w:t xml:space="preserve">(142 sur 148) </w:t>
      </w:r>
      <w:r w:rsidR="001D5DF0" w:rsidRPr="001D5DF0">
        <w:rPr>
          <w:rFonts w:ascii="Britannic Bold" w:hAnsi="Britannic Bold" w:cs="Arial"/>
          <w:color w:val="0070C0"/>
          <w:sz w:val="28"/>
          <w:szCs w:val="28"/>
        </w:rPr>
        <w:t xml:space="preserve">DES CANDIDATS </w:t>
      </w:r>
      <w:r w:rsidR="00417FD5">
        <w:rPr>
          <w:rFonts w:ascii="Britannic Bold" w:hAnsi="Britannic Bold" w:cs="Arial"/>
          <w:color w:val="0070C0"/>
          <w:sz w:val="28"/>
          <w:szCs w:val="28"/>
        </w:rPr>
        <w:t xml:space="preserve">DE </w:t>
      </w:r>
      <w:r w:rsidR="00417FD5" w:rsidRPr="00417FD5">
        <w:rPr>
          <w:rFonts w:ascii="Britannic Bold" w:hAnsi="Britannic Bold" w:cs="Arial"/>
          <w:color w:val="0070C0"/>
          <w:sz w:val="28"/>
          <w:szCs w:val="28"/>
        </w:rPr>
        <w:t xml:space="preserve">L’UNIVERSITÉ CHEIKH ANTA DIOP DE DAKAR </w:t>
      </w:r>
      <w:r w:rsidR="001D5DF0" w:rsidRPr="001D5DF0">
        <w:rPr>
          <w:rFonts w:ascii="Britannic Bold" w:hAnsi="Britannic Bold" w:cs="Arial"/>
          <w:color w:val="0070C0"/>
          <w:sz w:val="28"/>
          <w:szCs w:val="28"/>
        </w:rPr>
        <w:t xml:space="preserve">INSCRITS SUR LES LISTES D’APTITUDE DU CONSEIL AFRICAIN ET MALGACHE POUR L’ENSEIGNEMENT SUPÉRIEUR </w:t>
      </w:r>
    </w:p>
    <w:p w14:paraId="449911AD" w14:textId="21DD2380" w:rsidR="00270150" w:rsidRDefault="001D5DF0" w:rsidP="00417FD5">
      <w:pPr>
        <w:tabs>
          <w:tab w:val="left" w:pos="8931"/>
          <w:tab w:val="left" w:pos="9064"/>
        </w:tabs>
        <w:ind w:left="142" w:right="-8"/>
        <w:jc w:val="center"/>
        <w:rPr>
          <w:rFonts w:ascii="Britannic Bold" w:hAnsi="Britannic Bold" w:cs="Arial"/>
          <w:color w:val="2E74B5" w:themeColor="accent5" w:themeShade="BF"/>
          <w:sz w:val="28"/>
          <w:szCs w:val="28"/>
        </w:rPr>
      </w:pPr>
      <w:r w:rsidRPr="001D5DF0">
        <w:rPr>
          <w:rFonts w:ascii="Britannic Bold" w:hAnsi="Britannic Bold" w:cs="Arial"/>
          <w:color w:val="0070C0"/>
          <w:sz w:val="28"/>
          <w:szCs w:val="28"/>
        </w:rPr>
        <w:t>(CAMES-CCI 2024</w:t>
      </w:r>
      <w:r w:rsidRPr="001D5DF0">
        <w:rPr>
          <w:rFonts w:ascii="Britannic Bold" w:hAnsi="Britannic Bold" w:cs="Arial"/>
          <w:color w:val="2E74B5" w:themeColor="accent5" w:themeShade="BF"/>
          <w:sz w:val="28"/>
          <w:szCs w:val="28"/>
        </w:rPr>
        <w:t>)</w:t>
      </w:r>
    </w:p>
    <w:p w14:paraId="3BA79BE6" w14:textId="77777777" w:rsidR="00417FD5" w:rsidRPr="00417FD5" w:rsidRDefault="00417FD5" w:rsidP="00417FD5">
      <w:pPr>
        <w:tabs>
          <w:tab w:val="left" w:pos="8931"/>
          <w:tab w:val="left" w:pos="9064"/>
        </w:tabs>
        <w:ind w:left="142" w:right="-8"/>
        <w:jc w:val="center"/>
        <w:rPr>
          <w:rFonts w:ascii="Britannic Bold" w:hAnsi="Britannic Bold" w:cs="Arial"/>
          <w:color w:val="2E74B5" w:themeColor="accent5" w:themeShade="BF"/>
          <w:sz w:val="28"/>
          <w:szCs w:val="28"/>
        </w:rPr>
      </w:pPr>
    </w:p>
    <w:p w14:paraId="42D73390" w14:textId="7B146F0C" w:rsidR="00C5606C" w:rsidRPr="00E01B5F" w:rsidRDefault="00013996" w:rsidP="00C5606C">
      <w:pPr>
        <w:spacing w:after="100" w:afterAutospacing="1"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Pour </w:t>
      </w:r>
      <w:r w:rsidR="00720356">
        <w:rPr>
          <w:rFonts w:ascii="Cambria" w:hAnsi="Cambria" w:cs="Arial"/>
          <w:sz w:val="22"/>
          <w:szCs w:val="22"/>
        </w:rPr>
        <w:t>l’année 2024</w:t>
      </w:r>
      <w:r w:rsidR="009505FC">
        <w:rPr>
          <w:rFonts w:ascii="Cambria" w:hAnsi="Cambria" w:cs="Arial"/>
          <w:sz w:val="22"/>
          <w:szCs w:val="22"/>
        </w:rPr>
        <w:t>, l</w:t>
      </w:r>
      <w:r w:rsidR="007E3C40" w:rsidRPr="00E01B5F">
        <w:rPr>
          <w:rFonts w:ascii="Cambria" w:hAnsi="Cambria" w:cs="Arial"/>
          <w:sz w:val="22"/>
          <w:szCs w:val="22"/>
        </w:rPr>
        <w:t>’</w:t>
      </w:r>
      <w:r w:rsidR="00C5606C" w:rsidRPr="00E01B5F">
        <w:rPr>
          <w:rFonts w:ascii="Cambria" w:hAnsi="Cambria" w:cs="Arial"/>
          <w:sz w:val="22"/>
          <w:szCs w:val="22"/>
        </w:rPr>
        <w:t xml:space="preserve">Université Cheikh Anta Diop de Dakar (UCAD) </w:t>
      </w:r>
      <w:r w:rsidR="007E3C40" w:rsidRPr="00E01B5F">
        <w:rPr>
          <w:rFonts w:ascii="Cambria" w:hAnsi="Cambria" w:cs="Arial"/>
          <w:sz w:val="22"/>
          <w:szCs w:val="22"/>
        </w:rPr>
        <w:t xml:space="preserve">a </w:t>
      </w:r>
      <w:r w:rsidR="007E3C40" w:rsidRPr="00270150">
        <w:rPr>
          <w:rFonts w:ascii="Cambria" w:hAnsi="Cambria" w:cs="Arial"/>
          <w:sz w:val="22"/>
          <w:szCs w:val="22"/>
        </w:rPr>
        <w:t xml:space="preserve">enregistré un taux de réussite </w:t>
      </w:r>
      <w:r w:rsidR="00270150" w:rsidRPr="00270150">
        <w:rPr>
          <w:rFonts w:ascii="Cambria" w:hAnsi="Cambria" w:cs="Arial"/>
          <w:sz w:val="22"/>
          <w:szCs w:val="22"/>
        </w:rPr>
        <w:t xml:space="preserve">global </w:t>
      </w:r>
      <w:r w:rsidR="007E3C40" w:rsidRPr="00270150">
        <w:rPr>
          <w:rFonts w:ascii="Cambria" w:hAnsi="Cambria" w:cs="Arial"/>
          <w:sz w:val="22"/>
          <w:szCs w:val="22"/>
        </w:rPr>
        <w:t>de</w:t>
      </w:r>
      <w:r w:rsidR="00C5606C" w:rsidRPr="00270150"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b/>
          <w:sz w:val="22"/>
          <w:szCs w:val="22"/>
        </w:rPr>
        <w:t>9</w:t>
      </w:r>
      <w:r w:rsidR="00904ACC">
        <w:rPr>
          <w:rFonts w:ascii="Cambria" w:hAnsi="Cambria" w:cs="Arial"/>
          <w:b/>
          <w:sz w:val="22"/>
          <w:szCs w:val="22"/>
        </w:rPr>
        <w:t>5,9</w:t>
      </w:r>
      <w:r w:rsidR="00C5606C" w:rsidRPr="00270150">
        <w:rPr>
          <w:rFonts w:ascii="Cambria" w:hAnsi="Cambria" w:cs="Arial"/>
          <w:b/>
          <w:sz w:val="22"/>
          <w:szCs w:val="22"/>
        </w:rPr>
        <w:t>%</w:t>
      </w:r>
      <w:r w:rsidR="00C5606C" w:rsidRPr="00270150">
        <w:rPr>
          <w:rFonts w:ascii="Cambria" w:hAnsi="Cambria" w:cs="Arial"/>
          <w:sz w:val="22"/>
          <w:szCs w:val="22"/>
        </w:rPr>
        <w:t xml:space="preserve"> </w:t>
      </w:r>
      <w:r w:rsidR="00C5606C" w:rsidRPr="00E01B5F">
        <w:rPr>
          <w:rFonts w:ascii="Cambria" w:hAnsi="Cambria" w:cs="Arial"/>
          <w:b/>
          <w:bCs/>
          <w:color w:val="212529"/>
          <w:sz w:val="22"/>
          <w:szCs w:val="22"/>
        </w:rPr>
        <w:t xml:space="preserve">aux Comités consultatifs interafricains </w:t>
      </w:r>
      <w:r w:rsidR="00231967" w:rsidRPr="00A7634E">
        <w:rPr>
          <w:rFonts w:ascii="Cambria" w:hAnsi="Cambria" w:cs="Arial"/>
          <w:b/>
          <w:bCs/>
          <w:color w:val="212529"/>
          <w:sz w:val="22"/>
          <w:szCs w:val="22"/>
        </w:rPr>
        <w:t xml:space="preserve">de </w:t>
      </w:r>
      <w:r w:rsidR="00CC09C0">
        <w:rPr>
          <w:rFonts w:ascii="Cambria" w:hAnsi="Cambria" w:cs="Arial"/>
          <w:b/>
          <w:bCs/>
          <w:color w:val="212529"/>
          <w:sz w:val="22"/>
          <w:szCs w:val="22"/>
        </w:rPr>
        <w:t xml:space="preserve">l’année </w:t>
      </w:r>
      <w:r>
        <w:rPr>
          <w:rFonts w:ascii="Cambria" w:hAnsi="Cambria" w:cs="Arial"/>
          <w:b/>
          <w:bCs/>
          <w:color w:val="212529"/>
          <w:sz w:val="22"/>
          <w:szCs w:val="22"/>
        </w:rPr>
        <w:t>2024</w:t>
      </w:r>
      <w:r w:rsidR="00231967" w:rsidRPr="00A7634E">
        <w:rPr>
          <w:rFonts w:ascii="Cambria" w:hAnsi="Cambria" w:cs="Arial"/>
          <w:b/>
          <w:bCs/>
          <w:color w:val="212529"/>
          <w:sz w:val="22"/>
          <w:szCs w:val="22"/>
        </w:rPr>
        <w:t xml:space="preserve"> (CCI-</w:t>
      </w:r>
      <w:r>
        <w:rPr>
          <w:rFonts w:ascii="Cambria" w:hAnsi="Cambria" w:cs="Arial"/>
          <w:b/>
          <w:bCs/>
          <w:color w:val="212529"/>
          <w:sz w:val="22"/>
          <w:szCs w:val="22"/>
        </w:rPr>
        <w:t>2024</w:t>
      </w:r>
      <w:r w:rsidR="00C5606C" w:rsidRPr="00E01B5F">
        <w:rPr>
          <w:rFonts w:ascii="Cambria" w:hAnsi="Cambria" w:cs="Arial"/>
          <w:b/>
          <w:bCs/>
          <w:color w:val="212529"/>
          <w:sz w:val="22"/>
          <w:szCs w:val="22"/>
        </w:rPr>
        <w:t xml:space="preserve">), </w:t>
      </w:r>
      <w:r w:rsidR="00C5606C" w:rsidRPr="00E01B5F">
        <w:rPr>
          <w:rFonts w:ascii="Cambria" w:hAnsi="Cambria" w:cs="Arial"/>
          <w:bCs/>
          <w:color w:val="212529"/>
          <w:sz w:val="22"/>
          <w:szCs w:val="22"/>
        </w:rPr>
        <w:t xml:space="preserve">soit </w:t>
      </w:r>
      <w:r>
        <w:rPr>
          <w:rFonts w:ascii="Cambria" w:hAnsi="Cambria" w:cs="Arial"/>
          <w:b/>
          <w:bCs/>
          <w:color w:val="212529"/>
          <w:sz w:val="22"/>
          <w:szCs w:val="22"/>
        </w:rPr>
        <w:t>142</w:t>
      </w:r>
      <w:r w:rsidR="00C5606C" w:rsidRPr="00E01B5F">
        <w:rPr>
          <w:rFonts w:ascii="Cambria" w:hAnsi="Cambria" w:cs="Arial"/>
          <w:b/>
          <w:bCs/>
          <w:color w:val="212529"/>
          <w:sz w:val="22"/>
          <w:szCs w:val="22"/>
        </w:rPr>
        <w:t xml:space="preserve"> inscrits</w:t>
      </w:r>
      <w:r w:rsidR="00C5606C" w:rsidRPr="00E01B5F">
        <w:rPr>
          <w:rFonts w:ascii="Cambria" w:hAnsi="Cambria" w:cs="Arial"/>
          <w:sz w:val="22"/>
          <w:szCs w:val="22"/>
        </w:rPr>
        <w:t xml:space="preserve"> </w:t>
      </w:r>
      <w:r w:rsidR="00C5606C" w:rsidRPr="00E01B5F">
        <w:rPr>
          <w:rFonts w:ascii="Cambria" w:hAnsi="Cambria" w:cs="Arial"/>
          <w:color w:val="212529"/>
          <w:sz w:val="22"/>
          <w:szCs w:val="22"/>
        </w:rPr>
        <w:t xml:space="preserve">sur les </w:t>
      </w:r>
      <w:r>
        <w:rPr>
          <w:rFonts w:ascii="Cambria" w:hAnsi="Cambria" w:cs="Arial"/>
          <w:b/>
          <w:sz w:val="22"/>
          <w:szCs w:val="22"/>
        </w:rPr>
        <w:t>148</w:t>
      </w:r>
      <w:r w:rsidR="00C5606C" w:rsidRPr="00E01B5F">
        <w:rPr>
          <w:rFonts w:ascii="Cambria" w:hAnsi="Cambria" w:cs="Arial"/>
          <w:b/>
          <w:sz w:val="22"/>
          <w:szCs w:val="22"/>
        </w:rPr>
        <w:t xml:space="preserve"> candidatures </w:t>
      </w:r>
      <w:r w:rsidR="00C5606C" w:rsidRPr="00E01B5F">
        <w:rPr>
          <w:rFonts w:ascii="Cambria" w:hAnsi="Cambria" w:cs="Arial"/>
          <w:sz w:val="22"/>
          <w:szCs w:val="22"/>
        </w:rPr>
        <w:t xml:space="preserve">soumises </w:t>
      </w:r>
      <w:r w:rsidR="00C5606C" w:rsidRPr="00E01B5F">
        <w:rPr>
          <w:rFonts w:ascii="Cambria" w:hAnsi="Cambria" w:cs="Arial"/>
          <w:color w:val="212529"/>
          <w:sz w:val="22"/>
          <w:szCs w:val="22"/>
        </w:rPr>
        <w:t xml:space="preserve">pour l’inscription sur les listes d’aptitude aux différents grades de l’Enseignement </w:t>
      </w:r>
      <w:r w:rsidR="00BA38E6">
        <w:rPr>
          <w:rFonts w:ascii="Cambria" w:hAnsi="Cambria" w:cs="Arial"/>
          <w:color w:val="212529"/>
          <w:sz w:val="22"/>
          <w:szCs w:val="22"/>
        </w:rPr>
        <w:t>s</w:t>
      </w:r>
      <w:r w:rsidR="00C5606C" w:rsidRPr="00E01B5F">
        <w:rPr>
          <w:rFonts w:ascii="Cambria" w:hAnsi="Cambria" w:cs="Arial"/>
          <w:color w:val="212529"/>
          <w:sz w:val="22"/>
          <w:szCs w:val="22"/>
        </w:rPr>
        <w:t xml:space="preserve">upérieur et de la </w:t>
      </w:r>
      <w:r w:rsidR="0063074C" w:rsidRPr="00E01B5F">
        <w:rPr>
          <w:rFonts w:ascii="Cambria" w:hAnsi="Cambria" w:cs="Arial"/>
          <w:color w:val="212529"/>
          <w:sz w:val="22"/>
          <w:szCs w:val="22"/>
        </w:rPr>
        <w:t xml:space="preserve">Recherche </w:t>
      </w:r>
      <w:r w:rsidR="0063074C" w:rsidRPr="0063074C">
        <w:rPr>
          <w:rFonts w:ascii="Cambria" w:hAnsi="Cambria" w:cs="Arial"/>
          <w:color w:val="212529"/>
          <w:sz w:val="22"/>
          <w:szCs w:val="22"/>
        </w:rPr>
        <w:t>(</w:t>
      </w:r>
      <w:r w:rsidR="00C5606C" w:rsidRPr="0063074C">
        <w:rPr>
          <w:rFonts w:ascii="Cambria" w:hAnsi="Cambria" w:cs="Arial"/>
          <w:sz w:val="22"/>
          <w:szCs w:val="22"/>
        </w:rPr>
        <w:t>cf.</w:t>
      </w:r>
      <w:r w:rsidR="00C5606C" w:rsidRPr="00E01B5F">
        <w:rPr>
          <w:rFonts w:ascii="Cambria" w:hAnsi="Cambria" w:cs="Arial"/>
          <w:sz w:val="22"/>
          <w:szCs w:val="22"/>
        </w:rPr>
        <w:t xml:space="preserve"> tableau 1).</w:t>
      </w:r>
    </w:p>
    <w:p w14:paraId="54E1EB7C" w14:textId="3EAD8F11" w:rsidR="00C5606C" w:rsidRPr="00E01B5F" w:rsidRDefault="00C5606C" w:rsidP="004D2905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 w:rsidRPr="00E01B5F">
        <w:rPr>
          <w:rFonts w:ascii="Cambria" w:hAnsi="Cambria" w:cs="Arial"/>
          <w:b/>
          <w:sz w:val="20"/>
          <w:szCs w:val="20"/>
        </w:rPr>
        <w:t>Tableau 1.  Nombre de candidats et taux de r</w:t>
      </w:r>
      <w:r w:rsidR="00BA38E6">
        <w:rPr>
          <w:rFonts w:ascii="Cambria" w:hAnsi="Cambria" w:cs="Arial"/>
          <w:b/>
          <w:sz w:val="20"/>
          <w:szCs w:val="20"/>
        </w:rPr>
        <w:t>é</w:t>
      </w:r>
      <w:r w:rsidRPr="00E01B5F">
        <w:rPr>
          <w:rFonts w:ascii="Cambria" w:hAnsi="Cambria" w:cs="Arial"/>
          <w:b/>
          <w:sz w:val="20"/>
          <w:szCs w:val="20"/>
        </w:rPr>
        <w:t>ussite selon le Comité technique spécialisé</w:t>
      </w:r>
      <w:r w:rsidR="005C529A" w:rsidRPr="00E01B5F">
        <w:rPr>
          <w:rFonts w:ascii="Cambria" w:hAnsi="Cambria" w:cs="Arial"/>
          <w:b/>
          <w:sz w:val="20"/>
          <w:szCs w:val="20"/>
        </w:rPr>
        <w:t xml:space="preserve"> (CTS)</w:t>
      </w:r>
    </w:p>
    <w:tbl>
      <w:tblPr>
        <w:tblW w:w="8569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182"/>
        <w:gridCol w:w="1417"/>
        <w:gridCol w:w="1134"/>
        <w:gridCol w:w="993"/>
      </w:tblGrid>
      <w:tr w:rsidR="00720356" w:rsidRPr="00E01B5F" w14:paraId="0ABA2F87" w14:textId="77777777" w:rsidTr="00720356">
        <w:trPr>
          <w:trHeight w:val="300"/>
          <w:jc w:val="center"/>
        </w:trPr>
        <w:tc>
          <w:tcPr>
            <w:tcW w:w="3843" w:type="dxa"/>
            <w:shd w:val="clear" w:color="auto" w:fill="CCFFFF"/>
            <w:noWrap/>
            <w:vAlign w:val="center"/>
            <w:hideMark/>
          </w:tcPr>
          <w:p w14:paraId="7A13DB85" w14:textId="77777777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Années</w:t>
            </w:r>
          </w:p>
        </w:tc>
        <w:tc>
          <w:tcPr>
            <w:tcW w:w="1182" w:type="dxa"/>
            <w:shd w:val="clear" w:color="auto" w:fill="CCFFFF"/>
            <w:noWrap/>
            <w:vAlign w:val="center"/>
            <w:hideMark/>
          </w:tcPr>
          <w:p w14:paraId="66D97799" w14:textId="77777777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Candidats présentés</w:t>
            </w:r>
          </w:p>
        </w:tc>
        <w:tc>
          <w:tcPr>
            <w:tcW w:w="1417" w:type="dxa"/>
            <w:shd w:val="clear" w:color="auto" w:fill="CCFFFF"/>
          </w:tcPr>
          <w:p w14:paraId="5FC39DF0" w14:textId="77777777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Candidatures examinées</w:t>
            </w:r>
          </w:p>
        </w:tc>
        <w:tc>
          <w:tcPr>
            <w:tcW w:w="1134" w:type="dxa"/>
            <w:shd w:val="clear" w:color="auto" w:fill="CCFFFF"/>
            <w:noWrap/>
            <w:vAlign w:val="center"/>
            <w:hideMark/>
          </w:tcPr>
          <w:p w14:paraId="6E8ED72D" w14:textId="77777777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Nombre d’inscrits</w:t>
            </w:r>
          </w:p>
        </w:tc>
        <w:tc>
          <w:tcPr>
            <w:tcW w:w="993" w:type="dxa"/>
            <w:shd w:val="clear" w:color="auto" w:fill="CCFFFF"/>
            <w:noWrap/>
            <w:vAlign w:val="center"/>
            <w:hideMark/>
          </w:tcPr>
          <w:p w14:paraId="78E1D520" w14:textId="77777777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 xml:space="preserve">Taux de réussite </w:t>
            </w:r>
          </w:p>
        </w:tc>
      </w:tr>
      <w:tr w:rsidR="00720356" w:rsidRPr="00E01B5F" w14:paraId="1654582F" w14:textId="77777777" w:rsidTr="00720356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23BE0E1C" w14:textId="77777777" w:rsidR="00720356" w:rsidRPr="00E01B5F" w:rsidRDefault="00720356" w:rsidP="00EC6281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Lettres et Sciences humaines (LSH)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4D300743" w14:textId="199E874C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7" w:type="dxa"/>
            <w:vAlign w:val="center"/>
          </w:tcPr>
          <w:p w14:paraId="20C6CD44" w14:textId="67CA873D" w:rsidR="00720356" w:rsidRPr="00E01B5F" w:rsidRDefault="00720356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5BD6546" w14:textId="746CBFA6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DE2F16A" w14:textId="49C42CC4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97,1</w:t>
            </w: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%</w:t>
            </w:r>
          </w:p>
        </w:tc>
      </w:tr>
      <w:tr w:rsidR="00720356" w:rsidRPr="00E01B5F" w14:paraId="2D1C677C" w14:textId="77777777" w:rsidTr="00720356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3CC7D366" w14:textId="77777777" w:rsidR="00720356" w:rsidRPr="00E01B5F" w:rsidRDefault="00720356" w:rsidP="00EC6281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Mathématiques-Physique-Chimie (MPC)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5905BF1A" w14:textId="5418393E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vAlign w:val="center"/>
          </w:tcPr>
          <w:p w14:paraId="14AD926C" w14:textId="2AEDFE17" w:rsidR="00720356" w:rsidRPr="00E01B5F" w:rsidRDefault="00720356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1D6F7DF" w14:textId="42CAA674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EF02086" w14:textId="59E2109F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100</w:t>
            </w: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%</w:t>
            </w:r>
          </w:p>
        </w:tc>
      </w:tr>
      <w:tr w:rsidR="00720356" w:rsidRPr="00E01B5F" w14:paraId="29DEDC40" w14:textId="77777777" w:rsidTr="00720356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35BAB95E" w14:textId="77777777" w:rsidR="00720356" w:rsidRPr="00E01B5F" w:rsidRDefault="00720356" w:rsidP="00EC6281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Médecine-Pharmacie-Odontostomatologie-Médecine Vétérinaire (MPOV)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57662343" w14:textId="5333BA71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417" w:type="dxa"/>
            <w:vAlign w:val="center"/>
          </w:tcPr>
          <w:p w14:paraId="7FC5DD08" w14:textId="2BF2DF3E" w:rsidR="00720356" w:rsidRPr="00E01B5F" w:rsidRDefault="00720356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4BD67E0" w14:textId="68DE30FB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41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146F2D6" w14:textId="2D2F5D7A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95,3</w:t>
            </w: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%</w:t>
            </w:r>
          </w:p>
        </w:tc>
      </w:tr>
      <w:tr w:rsidR="00720356" w:rsidRPr="00E01B5F" w14:paraId="4D13CBEF" w14:textId="77777777" w:rsidTr="00720356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bottom"/>
          </w:tcPr>
          <w:p w14:paraId="65B45B4A" w14:textId="41A1795D" w:rsidR="00720356" w:rsidRPr="00E01B5F" w:rsidRDefault="00720356" w:rsidP="00EC6281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Sciences Économiques et de Gestion (SEG)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531F1021" w14:textId="68F3F951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vAlign w:val="center"/>
          </w:tcPr>
          <w:p w14:paraId="3A3A802F" w14:textId="76B4C585" w:rsidR="00720356" w:rsidRPr="00E01B5F" w:rsidRDefault="00720356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1545E9E" w14:textId="79C0119E" w:rsidR="00720356" w:rsidRPr="00E01B5F" w:rsidRDefault="00720356" w:rsidP="00DF11FD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CBEC18B" w14:textId="7B96423D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80</w:t>
            </w: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%</w:t>
            </w:r>
          </w:p>
        </w:tc>
      </w:tr>
      <w:tr w:rsidR="00720356" w:rsidRPr="00E01B5F" w14:paraId="11CCCCD9" w14:textId="77777777" w:rsidTr="00720356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0B8372E2" w14:textId="77777777" w:rsidR="00720356" w:rsidRPr="00E01B5F" w:rsidRDefault="00720356" w:rsidP="00EC6281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Sciences et Techniques de l'Ingénieur (STI)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CDB0086" w14:textId="717F441D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vAlign w:val="center"/>
          </w:tcPr>
          <w:p w14:paraId="5F13A4DC" w14:textId="05A9EE19" w:rsidR="00720356" w:rsidRPr="00E01B5F" w:rsidRDefault="00720356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A872E0" w14:textId="5CBEA9E0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4BC4E1" w14:textId="77777777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100%</w:t>
            </w:r>
          </w:p>
        </w:tc>
      </w:tr>
      <w:tr w:rsidR="00720356" w:rsidRPr="00E01B5F" w14:paraId="7CEA22B1" w14:textId="77777777" w:rsidTr="00720356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78DB63E4" w14:textId="77777777" w:rsidR="00720356" w:rsidRPr="00E01B5F" w:rsidRDefault="00720356" w:rsidP="00EC6281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Sciences Naturelles-Agronomie (SNA)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13941179" w14:textId="0BE98D08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14:paraId="6B77830F" w14:textId="7CC161DF" w:rsidR="00720356" w:rsidRPr="00E01B5F" w:rsidRDefault="00720356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2EBBCB9" w14:textId="72E7BE86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B4032A" w14:textId="6CECE9E2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90</w:t>
            </w: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%</w:t>
            </w:r>
          </w:p>
        </w:tc>
      </w:tr>
      <w:tr w:rsidR="00720356" w:rsidRPr="00E01B5F" w14:paraId="51D7186E" w14:textId="77777777" w:rsidTr="00720356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3D41E899" w14:textId="77777777" w:rsidR="00720356" w:rsidRPr="00E01B5F" w:rsidRDefault="00720356" w:rsidP="00EC6281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Sciences juridiques et politiques (SJP)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2484F8A5" w14:textId="327D574B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vAlign w:val="center"/>
          </w:tcPr>
          <w:p w14:paraId="68A6A5E8" w14:textId="194F90AA" w:rsidR="00720356" w:rsidRPr="00E01B5F" w:rsidRDefault="00720356" w:rsidP="00EC6281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37AB11" w14:textId="2FA695C1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AA99B2" w14:textId="3BDE2208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100</w:t>
            </w:r>
            <w:r w:rsidRPr="00E01B5F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%</w:t>
            </w:r>
          </w:p>
        </w:tc>
      </w:tr>
      <w:tr w:rsidR="00720356" w:rsidRPr="00E01B5F" w14:paraId="560F8C24" w14:textId="77777777" w:rsidTr="00720356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bottom"/>
          </w:tcPr>
          <w:p w14:paraId="43D11AD6" w14:textId="77777777" w:rsidR="00720356" w:rsidRPr="00E01B5F" w:rsidRDefault="00720356" w:rsidP="00EC6281">
            <w:pPr>
              <w:jc w:val="both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T</w:t>
            </w:r>
            <w:r w:rsidRPr="00E01B5F"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47FF6CA4" w14:textId="61DC7296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17" w:type="dxa"/>
            <w:vAlign w:val="center"/>
          </w:tcPr>
          <w:p w14:paraId="35E02BE3" w14:textId="5ADA26B6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74007043" w14:textId="2D8BE0F5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DFC183" w14:textId="2BF6A6FE" w:rsidR="00720356" w:rsidRPr="00E01B5F" w:rsidRDefault="00720356" w:rsidP="00EC6281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95,</w:t>
            </w:r>
            <w:r w:rsidR="00904ACC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9</w:t>
            </w:r>
            <w:r w:rsidRPr="00E01B5F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14:paraId="2D801AD8" w14:textId="32C2F37E" w:rsidR="00C5606C" w:rsidRPr="00E01B5F" w:rsidRDefault="00C5606C" w:rsidP="00C5606C">
      <w:pPr>
        <w:spacing w:line="276" w:lineRule="auto"/>
        <w:jc w:val="center"/>
        <w:rPr>
          <w:rFonts w:ascii="Cambria" w:hAnsi="Cambria" w:cs="Arial"/>
          <w:i/>
          <w:noProof/>
          <w:sz w:val="20"/>
          <w:szCs w:val="20"/>
        </w:rPr>
      </w:pPr>
      <w:r w:rsidRPr="00E01B5F">
        <w:rPr>
          <w:rFonts w:ascii="Cambria" w:hAnsi="Cambria" w:cs="Arial"/>
          <w:b/>
          <w:noProof/>
          <w:sz w:val="20"/>
          <w:szCs w:val="20"/>
        </w:rPr>
        <w:t>Source</w:t>
      </w:r>
      <w:r w:rsidRPr="00E01B5F">
        <w:rPr>
          <w:rFonts w:ascii="Cambria" w:hAnsi="Cambria" w:cs="Arial"/>
          <w:noProof/>
          <w:sz w:val="20"/>
          <w:szCs w:val="20"/>
        </w:rPr>
        <w:t xml:space="preserve">. </w:t>
      </w:r>
      <w:r w:rsidRPr="00E01B5F">
        <w:rPr>
          <w:rFonts w:ascii="Cambria" w:hAnsi="Cambria" w:cs="Arial"/>
          <w:i/>
          <w:noProof/>
          <w:sz w:val="20"/>
          <w:szCs w:val="20"/>
        </w:rPr>
        <w:t>www.lecames.org. Statistiqu</w:t>
      </w:r>
      <w:r w:rsidR="009505FC">
        <w:rPr>
          <w:rFonts w:ascii="Cambria" w:hAnsi="Cambria" w:cs="Arial"/>
          <w:i/>
          <w:noProof/>
          <w:sz w:val="20"/>
          <w:szCs w:val="20"/>
        </w:rPr>
        <w:t xml:space="preserve">es des candidatures aux </w:t>
      </w:r>
      <w:r w:rsidR="00D87085">
        <w:rPr>
          <w:rFonts w:ascii="Cambria" w:hAnsi="Cambria" w:cs="Arial"/>
          <w:i/>
          <w:noProof/>
          <w:sz w:val="20"/>
          <w:szCs w:val="20"/>
        </w:rPr>
        <w:t>CCI-2024</w:t>
      </w:r>
    </w:p>
    <w:p w14:paraId="26929B2D" w14:textId="77777777" w:rsidR="00C5606C" w:rsidRPr="00E01B5F" w:rsidRDefault="00C5606C" w:rsidP="00136892">
      <w:pPr>
        <w:spacing w:line="276" w:lineRule="auto"/>
        <w:jc w:val="both"/>
        <w:rPr>
          <w:rFonts w:ascii="Cambria" w:hAnsi="Cambria" w:cs="Arial"/>
          <w:color w:val="212529"/>
          <w:sz w:val="22"/>
          <w:szCs w:val="22"/>
        </w:rPr>
      </w:pPr>
    </w:p>
    <w:p w14:paraId="62E4E798" w14:textId="1CEB3485" w:rsidR="004D2905" w:rsidRPr="006F5686" w:rsidRDefault="009505FC" w:rsidP="009505FC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6F5686">
        <w:rPr>
          <w:rFonts w:ascii="Cambria" w:hAnsi="Cambria" w:cs="Arial"/>
          <w:sz w:val="22"/>
          <w:szCs w:val="22"/>
        </w:rPr>
        <w:t xml:space="preserve">En comparaison aux années précédentes, </w:t>
      </w:r>
      <w:r w:rsidR="00B751F2">
        <w:rPr>
          <w:rFonts w:ascii="Cambria" w:hAnsi="Cambria" w:cs="Arial"/>
          <w:sz w:val="22"/>
          <w:szCs w:val="22"/>
        </w:rPr>
        <w:t xml:space="preserve">il est important de </w:t>
      </w:r>
      <w:r w:rsidR="00D87085">
        <w:rPr>
          <w:rFonts w:ascii="Cambria" w:hAnsi="Cambria" w:cs="Arial"/>
          <w:sz w:val="22"/>
          <w:szCs w:val="22"/>
        </w:rPr>
        <w:t>note</w:t>
      </w:r>
      <w:r w:rsidR="00B751F2">
        <w:rPr>
          <w:rFonts w:ascii="Cambria" w:hAnsi="Cambria" w:cs="Arial"/>
          <w:sz w:val="22"/>
          <w:szCs w:val="22"/>
        </w:rPr>
        <w:t>r</w:t>
      </w:r>
      <w:r w:rsidR="00D87085">
        <w:rPr>
          <w:rFonts w:ascii="Cambria" w:hAnsi="Cambria" w:cs="Arial"/>
          <w:sz w:val="22"/>
          <w:szCs w:val="22"/>
        </w:rPr>
        <w:t xml:space="preserve"> </w:t>
      </w:r>
      <w:r w:rsidRPr="006F5686">
        <w:rPr>
          <w:rFonts w:ascii="Cambria" w:hAnsi="Cambria" w:cs="Arial"/>
          <w:sz w:val="22"/>
          <w:szCs w:val="22"/>
        </w:rPr>
        <w:t>un</w:t>
      </w:r>
      <w:r w:rsidR="00B86820" w:rsidRPr="006F5686">
        <w:rPr>
          <w:rFonts w:ascii="Cambria" w:hAnsi="Cambria" w:cs="Arial"/>
          <w:sz w:val="22"/>
          <w:szCs w:val="22"/>
        </w:rPr>
        <w:t>e</w:t>
      </w:r>
      <w:r w:rsidRPr="006F5686">
        <w:rPr>
          <w:rFonts w:ascii="Cambria" w:hAnsi="Cambria" w:cs="Arial"/>
          <w:sz w:val="22"/>
          <w:szCs w:val="22"/>
        </w:rPr>
        <w:t xml:space="preserve"> progression régulière du nombre d’inscrits </w:t>
      </w:r>
      <w:r w:rsidR="00D87085">
        <w:rPr>
          <w:rFonts w:ascii="Cambria" w:hAnsi="Cambria" w:cs="Arial"/>
          <w:sz w:val="22"/>
          <w:szCs w:val="22"/>
        </w:rPr>
        <w:t xml:space="preserve">passant de </w:t>
      </w:r>
      <w:r w:rsidR="00B751F2" w:rsidRPr="00B751F2">
        <w:rPr>
          <w:rFonts w:ascii="Cambria" w:hAnsi="Cambria" w:cs="Arial"/>
          <w:b/>
          <w:sz w:val="22"/>
          <w:szCs w:val="22"/>
        </w:rPr>
        <w:t>74, 8% en 2002</w:t>
      </w:r>
      <w:r w:rsidR="00B751F2">
        <w:rPr>
          <w:rFonts w:ascii="Cambria" w:hAnsi="Cambria" w:cs="Arial"/>
          <w:sz w:val="22"/>
          <w:szCs w:val="22"/>
        </w:rPr>
        <w:t xml:space="preserve">, </w:t>
      </w:r>
      <w:r w:rsidR="00D87085" w:rsidRPr="00B751F2">
        <w:rPr>
          <w:rFonts w:ascii="Cambria" w:hAnsi="Cambria" w:cs="Arial"/>
          <w:b/>
          <w:sz w:val="22"/>
          <w:szCs w:val="22"/>
        </w:rPr>
        <w:t>88,5% en 2023</w:t>
      </w:r>
      <w:r w:rsidR="00D87085">
        <w:rPr>
          <w:rFonts w:ascii="Cambria" w:hAnsi="Cambria" w:cs="Arial"/>
          <w:sz w:val="22"/>
          <w:szCs w:val="22"/>
        </w:rPr>
        <w:t xml:space="preserve"> à </w:t>
      </w:r>
      <w:r w:rsidR="00D87085" w:rsidRPr="00B751F2">
        <w:rPr>
          <w:rFonts w:ascii="Cambria" w:hAnsi="Cambria" w:cs="Arial"/>
          <w:b/>
          <w:sz w:val="22"/>
          <w:szCs w:val="22"/>
        </w:rPr>
        <w:t>95,9% en 2024</w:t>
      </w:r>
      <w:r w:rsidR="00D87085">
        <w:rPr>
          <w:rFonts w:ascii="Cambria" w:hAnsi="Cambria" w:cs="Arial"/>
          <w:sz w:val="22"/>
          <w:szCs w:val="22"/>
        </w:rPr>
        <w:t xml:space="preserve"> </w:t>
      </w:r>
      <w:r w:rsidRPr="006F5686">
        <w:rPr>
          <w:rFonts w:ascii="Cambria" w:hAnsi="Cambria" w:cs="Arial"/>
          <w:sz w:val="22"/>
          <w:szCs w:val="22"/>
        </w:rPr>
        <w:t>(figure 1)</w:t>
      </w:r>
    </w:p>
    <w:p w14:paraId="646FE9B2" w14:textId="6F690EAC" w:rsidR="00446D14" w:rsidRDefault="008F0350" w:rsidP="00C5606C">
      <w:pPr>
        <w:spacing w:line="276" w:lineRule="auto"/>
        <w:jc w:val="center"/>
        <w:rPr>
          <w:rFonts w:ascii="Cambria" w:hAnsi="Cambria" w:cs="Arial"/>
          <w:b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2C64D9C4" wp14:editId="4B868DCA">
            <wp:extent cx="5756910" cy="2375450"/>
            <wp:effectExtent l="0" t="0" r="8890" b="1270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30E58E4" w14:textId="77777777" w:rsidR="008F0350" w:rsidRDefault="008F0350" w:rsidP="00446D14">
      <w:pPr>
        <w:spacing w:line="276" w:lineRule="auto"/>
        <w:jc w:val="center"/>
        <w:rPr>
          <w:rFonts w:ascii="Cambria" w:hAnsi="Cambria" w:cs="Arial"/>
          <w:b/>
          <w:noProof/>
          <w:sz w:val="20"/>
          <w:szCs w:val="20"/>
        </w:rPr>
      </w:pPr>
    </w:p>
    <w:p w14:paraId="5C4C25D5" w14:textId="278A9984" w:rsidR="00446D14" w:rsidRPr="00E01B5F" w:rsidRDefault="00446D14" w:rsidP="00446D14">
      <w:pPr>
        <w:spacing w:line="276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noProof/>
          <w:sz w:val="20"/>
          <w:szCs w:val="20"/>
        </w:rPr>
        <w:t xml:space="preserve">Figure 1 : </w:t>
      </w:r>
      <w:r>
        <w:rPr>
          <w:rFonts w:ascii="Cambria" w:hAnsi="Cambria" w:cs="Arial"/>
          <w:b/>
          <w:sz w:val="20"/>
          <w:szCs w:val="20"/>
        </w:rPr>
        <w:t xml:space="preserve">Taux de réussite </w:t>
      </w:r>
      <w:r w:rsidRPr="00E01B5F">
        <w:rPr>
          <w:rFonts w:ascii="Cambria" w:hAnsi="Cambria" w:cs="Arial"/>
          <w:b/>
          <w:sz w:val="20"/>
          <w:szCs w:val="20"/>
        </w:rPr>
        <w:t>des</w:t>
      </w:r>
      <w:r>
        <w:rPr>
          <w:rFonts w:ascii="Cambria" w:hAnsi="Cambria" w:cs="Arial"/>
          <w:b/>
          <w:sz w:val="20"/>
          <w:szCs w:val="20"/>
        </w:rPr>
        <w:t xml:space="preserve"> </w:t>
      </w:r>
      <w:r w:rsidR="000B31BE">
        <w:rPr>
          <w:rFonts w:ascii="Cambria" w:hAnsi="Cambria" w:cs="Arial"/>
          <w:b/>
          <w:sz w:val="20"/>
          <w:szCs w:val="20"/>
        </w:rPr>
        <w:t>huit</w:t>
      </w:r>
      <w:r w:rsidR="00D87085">
        <w:rPr>
          <w:rFonts w:ascii="Cambria" w:hAnsi="Cambria" w:cs="Arial"/>
          <w:b/>
          <w:sz w:val="20"/>
          <w:szCs w:val="20"/>
        </w:rPr>
        <w:t xml:space="preserve"> dernières années (2017-2024</w:t>
      </w:r>
      <w:r w:rsidRPr="00E01B5F">
        <w:rPr>
          <w:rFonts w:ascii="Cambria" w:hAnsi="Cambria" w:cs="Arial"/>
          <w:b/>
          <w:sz w:val="20"/>
          <w:szCs w:val="20"/>
        </w:rPr>
        <w:t>)</w:t>
      </w:r>
    </w:p>
    <w:p w14:paraId="4B821B35" w14:textId="50535256" w:rsidR="00D17487" w:rsidRDefault="00C5606C" w:rsidP="0076502F">
      <w:pPr>
        <w:spacing w:line="276" w:lineRule="auto"/>
        <w:jc w:val="center"/>
        <w:rPr>
          <w:rFonts w:ascii="Cambria" w:hAnsi="Cambria" w:cs="Arial"/>
          <w:i/>
          <w:noProof/>
          <w:sz w:val="20"/>
          <w:szCs w:val="20"/>
        </w:rPr>
      </w:pPr>
      <w:r w:rsidRPr="00E01B5F">
        <w:rPr>
          <w:rFonts w:ascii="Cambria" w:hAnsi="Cambria" w:cs="Arial"/>
          <w:b/>
          <w:noProof/>
          <w:sz w:val="20"/>
          <w:szCs w:val="20"/>
        </w:rPr>
        <w:t>Source</w:t>
      </w:r>
      <w:r w:rsidRPr="00E01B5F">
        <w:rPr>
          <w:rFonts w:ascii="Cambria" w:hAnsi="Cambria" w:cs="Arial"/>
          <w:noProof/>
          <w:sz w:val="20"/>
          <w:szCs w:val="20"/>
        </w:rPr>
        <w:t xml:space="preserve">. </w:t>
      </w:r>
      <w:r w:rsidRPr="00E01B5F">
        <w:rPr>
          <w:rFonts w:ascii="Cambria" w:hAnsi="Cambria" w:cs="Arial"/>
          <w:i/>
          <w:noProof/>
          <w:sz w:val="20"/>
          <w:szCs w:val="20"/>
        </w:rPr>
        <w:t>www.lecames.org. Statistiques de</w:t>
      </w:r>
      <w:r w:rsidR="008F0350">
        <w:rPr>
          <w:rFonts w:ascii="Cambria" w:hAnsi="Cambria" w:cs="Arial"/>
          <w:i/>
          <w:noProof/>
          <w:sz w:val="20"/>
          <w:szCs w:val="20"/>
        </w:rPr>
        <w:t>s candidatures aux CCI 2017</w:t>
      </w:r>
      <w:r w:rsidR="000B31BE">
        <w:rPr>
          <w:rFonts w:ascii="Cambria" w:hAnsi="Cambria" w:cs="Arial"/>
          <w:i/>
          <w:noProof/>
          <w:sz w:val="20"/>
          <w:szCs w:val="20"/>
        </w:rPr>
        <w:t>-2024</w:t>
      </w:r>
    </w:p>
    <w:p w14:paraId="7B06DC21" w14:textId="77777777" w:rsidR="0076502F" w:rsidRPr="0076502F" w:rsidRDefault="0076502F" w:rsidP="0076502F">
      <w:pPr>
        <w:spacing w:line="276" w:lineRule="auto"/>
        <w:jc w:val="center"/>
        <w:rPr>
          <w:rFonts w:ascii="Cambria" w:hAnsi="Cambria" w:cs="Arial"/>
          <w:i/>
          <w:noProof/>
          <w:sz w:val="20"/>
          <w:szCs w:val="20"/>
        </w:rPr>
      </w:pPr>
    </w:p>
    <w:p w14:paraId="1B8796DA" w14:textId="7D739BCB" w:rsidR="006B3FEF" w:rsidRDefault="00417FD5" w:rsidP="00FA676A">
      <w:pPr>
        <w:spacing w:after="100" w:afterAutospacing="1"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Le</w:t>
      </w:r>
      <w:r w:rsidR="006B3FEF">
        <w:rPr>
          <w:rFonts w:ascii="Cambria" w:hAnsi="Cambria" w:cs="Arial"/>
          <w:sz w:val="22"/>
          <w:szCs w:val="22"/>
        </w:rPr>
        <w:t xml:space="preserve"> taux d’inscription </w:t>
      </w:r>
      <w:r w:rsidR="00CB4957">
        <w:rPr>
          <w:rFonts w:ascii="Cambria" w:hAnsi="Cambria" w:cs="Arial"/>
          <w:sz w:val="22"/>
          <w:szCs w:val="22"/>
        </w:rPr>
        <w:t xml:space="preserve">est ainsi supérieur à 95% pour l’ensemble des grades hormis celui </w:t>
      </w:r>
      <w:r w:rsidR="006B3FEF">
        <w:rPr>
          <w:rFonts w:ascii="Cambria" w:hAnsi="Cambria" w:cs="Arial"/>
          <w:sz w:val="22"/>
          <w:szCs w:val="22"/>
        </w:rPr>
        <w:t>de Professeur titulaire (Tableau 2).</w:t>
      </w:r>
    </w:p>
    <w:p w14:paraId="2B61CEBE" w14:textId="24269A4F" w:rsidR="00D34F2B" w:rsidRPr="00013BBD" w:rsidRDefault="00D17487" w:rsidP="00013BBD">
      <w:pPr>
        <w:spacing w:line="276" w:lineRule="auto"/>
        <w:jc w:val="center"/>
        <w:rPr>
          <w:rFonts w:ascii="Cambria" w:hAnsi="Cambria" w:cs="Arial"/>
          <w:b/>
          <w:noProof/>
          <w:sz w:val="20"/>
          <w:szCs w:val="20"/>
        </w:rPr>
      </w:pPr>
      <w:r>
        <w:rPr>
          <w:rFonts w:ascii="Cambria" w:hAnsi="Cambria" w:cs="Arial"/>
          <w:b/>
          <w:noProof/>
          <w:sz w:val="20"/>
          <w:szCs w:val="20"/>
        </w:rPr>
        <w:t>Tableau 2</w:t>
      </w:r>
      <w:r w:rsidR="00066C1A">
        <w:rPr>
          <w:rFonts w:ascii="Cambria" w:hAnsi="Cambria" w:cs="Arial"/>
          <w:b/>
          <w:noProof/>
          <w:sz w:val="20"/>
          <w:szCs w:val="20"/>
        </w:rPr>
        <w:t>. Nombre de candidats et t</w:t>
      </w:r>
      <w:r w:rsidR="00013BBD" w:rsidRPr="00E01B5F">
        <w:rPr>
          <w:rFonts w:ascii="Cambria" w:hAnsi="Cambria" w:cs="Arial"/>
          <w:b/>
          <w:noProof/>
          <w:sz w:val="20"/>
          <w:szCs w:val="20"/>
        </w:rPr>
        <w:t>aux de r</w:t>
      </w:r>
      <w:r w:rsidR="00013BBD">
        <w:rPr>
          <w:rFonts w:ascii="Cambria" w:hAnsi="Cambria" w:cs="Arial"/>
          <w:b/>
          <w:noProof/>
          <w:sz w:val="20"/>
          <w:szCs w:val="20"/>
        </w:rPr>
        <w:t>é</w:t>
      </w:r>
      <w:r w:rsidR="00013BBD" w:rsidRPr="00E01B5F">
        <w:rPr>
          <w:rFonts w:ascii="Cambria" w:hAnsi="Cambria" w:cs="Arial"/>
          <w:b/>
          <w:noProof/>
          <w:sz w:val="20"/>
          <w:szCs w:val="20"/>
        </w:rPr>
        <w:t>ussit</w:t>
      </w:r>
      <w:r w:rsidR="00644CB1">
        <w:rPr>
          <w:rFonts w:ascii="Cambria" w:hAnsi="Cambria" w:cs="Arial"/>
          <w:b/>
          <w:noProof/>
          <w:sz w:val="20"/>
          <w:szCs w:val="20"/>
        </w:rPr>
        <w:t>e selon le grade postulé en 2024</w:t>
      </w:r>
    </w:p>
    <w:tbl>
      <w:tblPr>
        <w:tblW w:w="99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1182"/>
        <w:gridCol w:w="1418"/>
        <w:gridCol w:w="1417"/>
        <w:gridCol w:w="1134"/>
        <w:gridCol w:w="993"/>
      </w:tblGrid>
      <w:tr w:rsidR="00D34F2B" w:rsidRPr="00E01B5F" w14:paraId="4533CAA9" w14:textId="77777777" w:rsidTr="00BE5337">
        <w:trPr>
          <w:trHeight w:val="300"/>
          <w:jc w:val="center"/>
        </w:trPr>
        <w:tc>
          <w:tcPr>
            <w:tcW w:w="3843" w:type="dxa"/>
            <w:shd w:val="clear" w:color="auto" w:fill="CCFFFF"/>
            <w:noWrap/>
            <w:vAlign w:val="center"/>
            <w:hideMark/>
          </w:tcPr>
          <w:p w14:paraId="7335A501" w14:textId="77777777" w:rsidR="00D34F2B" w:rsidRPr="00E01B5F" w:rsidRDefault="00D34F2B" w:rsidP="00BE5337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Années</w:t>
            </w:r>
          </w:p>
        </w:tc>
        <w:tc>
          <w:tcPr>
            <w:tcW w:w="1182" w:type="dxa"/>
            <w:shd w:val="clear" w:color="auto" w:fill="CCFFFF"/>
            <w:noWrap/>
            <w:vAlign w:val="center"/>
            <w:hideMark/>
          </w:tcPr>
          <w:p w14:paraId="6C07FCF7" w14:textId="77777777" w:rsidR="00D34F2B" w:rsidRPr="00E01B5F" w:rsidRDefault="00D34F2B" w:rsidP="00BE5337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Candidats présentés</w:t>
            </w:r>
          </w:p>
        </w:tc>
        <w:tc>
          <w:tcPr>
            <w:tcW w:w="1418" w:type="dxa"/>
            <w:shd w:val="clear" w:color="auto" w:fill="CCFFFF"/>
          </w:tcPr>
          <w:p w14:paraId="09807543" w14:textId="77777777" w:rsidR="00D34F2B" w:rsidRPr="00E01B5F" w:rsidRDefault="00D34F2B" w:rsidP="00BE5337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Candidatures irrecevables</w:t>
            </w:r>
          </w:p>
        </w:tc>
        <w:tc>
          <w:tcPr>
            <w:tcW w:w="1417" w:type="dxa"/>
            <w:shd w:val="clear" w:color="auto" w:fill="CCFFFF"/>
          </w:tcPr>
          <w:p w14:paraId="201F439D" w14:textId="77777777" w:rsidR="00D34F2B" w:rsidRPr="00E01B5F" w:rsidRDefault="00D34F2B" w:rsidP="00BE5337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Candidatures examinées</w:t>
            </w:r>
          </w:p>
        </w:tc>
        <w:tc>
          <w:tcPr>
            <w:tcW w:w="1134" w:type="dxa"/>
            <w:shd w:val="clear" w:color="auto" w:fill="CCFFFF"/>
            <w:noWrap/>
            <w:vAlign w:val="center"/>
            <w:hideMark/>
          </w:tcPr>
          <w:p w14:paraId="6A71A152" w14:textId="77777777" w:rsidR="00D34F2B" w:rsidRPr="00E01B5F" w:rsidRDefault="00D34F2B" w:rsidP="00BE5337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>Nombre d’inscrits</w:t>
            </w:r>
          </w:p>
        </w:tc>
        <w:tc>
          <w:tcPr>
            <w:tcW w:w="993" w:type="dxa"/>
            <w:shd w:val="clear" w:color="auto" w:fill="CCFFFF"/>
            <w:noWrap/>
            <w:vAlign w:val="center"/>
            <w:hideMark/>
          </w:tcPr>
          <w:p w14:paraId="2446A4FA" w14:textId="77777777" w:rsidR="00D34F2B" w:rsidRPr="00E01B5F" w:rsidRDefault="00D34F2B" w:rsidP="00BE5337">
            <w:pPr>
              <w:jc w:val="center"/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</w:pPr>
            <w:r w:rsidRPr="00E01B5F">
              <w:rPr>
                <w:rFonts w:ascii="Cambria" w:eastAsia="Times New Roman" w:hAnsi="Cambria" w:cs="Arial"/>
                <w:b/>
                <w:bCs/>
                <w:color w:val="000000"/>
                <w:sz w:val="20"/>
                <w:szCs w:val="20"/>
              </w:rPr>
              <w:t xml:space="preserve">Taux de réussite </w:t>
            </w:r>
          </w:p>
        </w:tc>
      </w:tr>
      <w:tr w:rsidR="00013BBD" w:rsidRPr="00E01B5F" w14:paraId="471324C6" w14:textId="77777777" w:rsidTr="00BE5337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1224CFCF" w14:textId="27DC7C99" w:rsidR="00013BBD" w:rsidRPr="00614736" w:rsidRDefault="00013BBD" w:rsidP="00BE5337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Professeur titulaire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2944E4C9" w14:textId="79EF4B6B" w:rsidR="00013BBD" w:rsidRPr="00614736" w:rsidRDefault="00644CB1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418" w:type="dxa"/>
            <w:vAlign w:val="center"/>
          </w:tcPr>
          <w:p w14:paraId="5309A96B" w14:textId="333AF665" w:rsidR="00013BBD" w:rsidRPr="00F75105" w:rsidRDefault="00363960" w:rsidP="00BE5337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3A2831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34B542C4" w14:textId="1F63F2E4" w:rsidR="00013BBD" w:rsidRPr="00614736" w:rsidRDefault="00644CB1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28CF2B54" w14:textId="7004C9AC" w:rsidR="00013BBD" w:rsidRPr="00614736" w:rsidRDefault="00644CB1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EBDEBFD" w14:textId="2D8B67E4" w:rsidR="00013BBD" w:rsidRPr="00E01B5F" w:rsidRDefault="00644CB1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89,4</w:t>
            </w:r>
            <w:r w:rsidR="00013BBD">
              <w:rPr>
                <w:rFonts w:ascii="Cambria" w:eastAsia="Times New Roman" w:hAnsi="Cambria"/>
                <w:color w:val="000000"/>
                <w:sz w:val="20"/>
                <w:szCs w:val="20"/>
              </w:rPr>
              <w:t>%</w:t>
            </w:r>
          </w:p>
        </w:tc>
      </w:tr>
      <w:tr w:rsidR="00644CB1" w:rsidRPr="00E01B5F" w14:paraId="7BD986D7" w14:textId="77777777" w:rsidTr="00BE5337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071A9536" w14:textId="6316ECAD" w:rsidR="00644CB1" w:rsidRPr="00614736" w:rsidRDefault="00644CB1" w:rsidP="00BE5337">
            <w:pPr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Maitre de recherche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21DAF6CF" w14:textId="74FCA3BB" w:rsidR="00644CB1" w:rsidRPr="00614736" w:rsidRDefault="00644CB1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8" w:type="dxa"/>
            <w:vAlign w:val="center"/>
          </w:tcPr>
          <w:p w14:paraId="683B33E5" w14:textId="1B224215" w:rsidR="00644CB1" w:rsidRPr="00F75105" w:rsidRDefault="00644CB1" w:rsidP="00BE5337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rFonts w:ascii="Cambria" w:eastAsia="Times New Roman" w:hAnsi="Cambria"/>
                <w:sz w:val="20"/>
                <w:szCs w:val="20"/>
              </w:rPr>
              <w:t>00</w:t>
            </w:r>
          </w:p>
        </w:tc>
        <w:tc>
          <w:tcPr>
            <w:tcW w:w="1417" w:type="dxa"/>
            <w:vAlign w:val="center"/>
          </w:tcPr>
          <w:p w14:paraId="4242CA15" w14:textId="0C4DF0EE" w:rsidR="00644CB1" w:rsidRPr="00614736" w:rsidRDefault="00644CB1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74F6511" w14:textId="25209103" w:rsidR="00644CB1" w:rsidRPr="00614736" w:rsidRDefault="00644CB1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BE5040E" w14:textId="448523D4" w:rsidR="00644CB1" w:rsidRPr="000B31BE" w:rsidRDefault="00644CB1" w:rsidP="00BE5337">
            <w:pPr>
              <w:jc w:val="center"/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</w:pPr>
            <w:r w:rsidRPr="000B31BE"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100%</w:t>
            </w:r>
          </w:p>
        </w:tc>
      </w:tr>
      <w:tr w:rsidR="00D34F2B" w:rsidRPr="00E01B5F" w14:paraId="3F4460B1" w14:textId="77777777" w:rsidTr="00BE5337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6EF285F1" w14:textId="53035CF2" w:rsidR="00D34F2B" w:rsidRPr="00614736" w:rsidRDefault="00013BBD" w:rsidP="00BE5337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/>
                <w:color w:val="000000"/>
                <w:sz w:val="20"/>
                <w:szCs w:val="20"/>
              </w:rPr>
              <w:t>Maître de conférences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69095281" w14:textId="508FA7A7" w:rsidR="00D34F2B" w:rsidRPr="00614736" w:rsidRDefault="00644CB1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418" w:type="dxa"/>
            <w:vAlign w:val="center"/>
          </w:tcPr>
          <w:p w14:paraId="25AF04B1" w14:textId="15DB6E26" w:rsidR="00D34F2B" w:rsidRPr="00F75105" w:rsidRDefault="003A2831" w:rsidP="00BE5337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363960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653CE5F" w14:textId="7F6B8991" w:rsidR="00D34F2B" w:rsidRPr="00614736" w:rsidRDefault="00644CB1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820E4B6" w14:textId="454C28DD" w:rsidR="00D34F2B" w:rsidRPr="00614736" w:rsidRDefault="00644CB1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0F2D78F" w14:textId="48D6B290" w:rsidR="00D34F2B" w:rsidRPr="00E01B5F" w:rsidRDefault="00644CB1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96,8</w:t>
            </w:r>
            <w:r w:rsidR="00D34F2B"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%</w:t>
            </w:r>
          </w:p>
        </w:tc>
      </w:tr>
      <w:tr w:rsidR="00D34F2B" w:rsidRPr="00E01B5F" w14:paraId="4623DA9E" w14:textId="77777777" w:rsidTr="00BE5337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center"/>
          </w:tcPr>
          <w:p w14:paraId="0F783321" w14:textId="4B0E282A" w:rsidR="00D34F2B" w:rsidRPr="00614736" w:rsidRDefault="00013BBD" w:rsidP="00BE5337">
            <w:pPr>
              <w:jc w:val="both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Maître-assistant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114E2400" w14:textId="22576205" w:rsidR="00D34F2B" w:rsidRPr="00614736" w:rsidRDefault="00644CB1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418" w:type="dxa"/>
            <w:vAlign w:val="center"/>
          </w:tcPr>
          <w:p w14:paraId="7DC7D183" w14:textId="503800B7" w:rsidR="00D34F2B" w:rsidRPr="00F75105" w:rsidRDefault="00363960" w:rsidP="00BE5337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F75105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75BD93A9" w14:textId="0B440B66" w:rsidR="00D34F2B" w:rsidRPr="00614736" w:rsidRDefault="00644CB1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D6AB04" w14:textId="639BB4F5" w:rsidR="00D34F2B" w:rsidRPr="00614736" w:rsidRDefault="00644CB1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70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A6B6C3B" w14:textId="4EB79C86" w:rsidR="00D34F2B" w:rsidRPr="00E01B5F" w:rsidRDefault="00644CB1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98.6</w:t>
            </w:r>
            <w:r w:rsidR="00D34F2B" w:rsidRPr="00E01B5F">
              <w:rPr>
                <w:rFonts w:ascii="Cambria" w:eastAsia="Times New Roman" w:hAnsi="Cambria"/>
                <w:color w:val="000000"/>
                <w:sz w:val="20"/>
                <w:szCs w:val="20"/>
              </w:rPr>
              <w:t>%</w:t>
            </w:r>
          </w:p>
        </w:tc>
      </w:tr>
      <w:tr w:rsidR="00D34F2B" w:rsidRPr="00E01B5F" w14:paraId="07DC0C4D" w14:textId="77777777" w:rsidTr="00BE5337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bottom"/>
          </w:tcPr>
          <w:p w14:paraId="6886A84D" w14:textId="784A6E38" w:rsidR="00D34F2B" w:rsidRPr="00614736" w:rsidRDefault="00013BBD" w:rsidP="00BE5337">
            <w:pPr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 w:cs="Arial"/>
                <w:color w:val="000000"/>
                <w:sz w:val="20"/>
                <w:szCs w:val="20"/>
              </w:rPr>
              <w:t>Chargé de recherche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10F38810" w14:textId="0829DC9C" w:rsidR="00D34F2B" w:rsidRPr="00614736" w:rsidRDefault="00644CB1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8" w:type="dxa"/>
            <w:vAlign w:val="center"/>
          </w:tcPr>
          <w:p w14:paraId="69B78B7A" w14:textId="557FCF30" w:rsidR="00D34F2B" w:rsidRPr="00F75105" w:rsidRDefault="00D34F2B" w:rsidP="00BE5337">
            <w:pPr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  <w:r w:rsidR="00363960" w:rsidRPr="00F75105">
              <w:rPr>
                <w:rFonts w:ascii="Cambria" w:eastAsia="Times New Roman" w:hAnsi="Cambria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center"/>
          </w:tcPr>
          <w:p w14:paraId="416EB3F7" w14:textId="4977AC0F" w:rsidR="00D34F2B" w:rsidRPr="00614736" w:rsidRDefault="00644CB1" w:rsidP="00BE5337">
            <w:pPr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4EFAF31B" w14:textId="0C559160" w:rsidR="00D34F2B" w:rsidRPr="00614736" w:rsidRDefault="00644CB1" w:rsidP="00BE5337">
            <w:pPr>
              <w:jc w:val="center"/>
              <w:rPr>
                <w:rFonts w:ascii="Cambria" w:eastAsia="Times New Roman" w:hAnsi="Cambria" w:cs="Arial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C4D2DA0" w14:textId="02DE8BF8" w:rsidR="00D34F2B" w:rsidRPr="000B31BE" w:rsidRDefault="00644CB1" w:rsidP="00BE5337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0B31BE"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100</w:t>
            </w:r>
            <w:r w:rsidR="00D34F2B" w:rsidRPr="000B31BE"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D34F2B" w:rsidRPr="00E01B5F" w14:paraId="39108A69" w14:textId="77777777" w:rsidTr="00BE5337">
        <w:trPr>
          <w:trHeight w:val="300"/>
          <w:jc w:val="center"/>
        </w:trPr>
        <w:tc>
          <w:tcPr>
            <w:tcW w:w="3843" w:type="dxa"/>
            <w:shd w:val="clear" w:color="auto" w:fill="auto"/>
            <w:noWrap/>
            <w:vAlign w:val="bottom"/>
          </w:tcPr>
          <w:p w14:paraId="7672985F" w14:textId="77777777" w:rsidR="00D34F2B" w:rsidRPr="00614736" w:rsidRDefault="00D34F2B" w:rsidP="00BE5337">
            <w:pPr>
              <w:jc w:val="both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T</w:t>
            </w:r>
            <w:r w:rsidRPr="00614736">
              <w:rPr>
                <w:rFonts w:ascii="Cambria" w:eastAsia="Times New Roman" w:hAnsi="Cambria"/>
                <w:b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14:paraId="254C58FE" w14:textId="7B8B84B7" w:rsidR="00D34F2B" w:rsidRPr="00614736" w:rsidRDefault="00644CB1" w:rsidP="00BE5337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418" w:type="dxa"/>
            <w:vAlign w:val="center"/>
          </w:tcPr>
          <w:p w14:paraId="7CFED213" w14:textId="50A5D60A" w:rsidR="00D34F2B" w:rsidRPr="00F75105" w:rsidRDefault="00363960" w:rsidP="00BE5337">
            <w:pPr>
              <w:jc w:val="center"/>
              <w:rPr>
                <w:rFonts w:ascii="Cambria" w:eastAsia="Times New Roman" w:hAnsi="Cambria" w:cs="Arial"/>
                <w:b/>
                <w:sz w:val="20"/>
                <w:szCs w:val="20"/>
              </w:rPr>
            </w:pPr>
            <w:r w:rsidRPr="00F75105">
              <w:rPr>
                <w:rFonts w:ascii="Cambria" w:hAnsi="Cambria"/>
                <w:b/>
              </w:rPr>
              <w:t>0</w:t>
            </w:r>
            <w:r w:rsidR="009505FC" w:rsidRPr="00F75105">
              <w:rPr>
                <w:rFonts w:ascii="Cambria" w:hAnsi="Cambria"/>
                <w:b/>
              </w:rPr>
              <w:t>0</w:t>
            </w:r>
          </w:p>
        </w:tc>
        <w:tc>
          <w:tcPr>
            <w:tcW w:w="1417" w:type="dxa"/>
            <w:vAlign w:val="center"/>
          </w:tcPr>
          <w:p w14:paraId="56CE1FE2" w14:textId="76CE6074" w:rsidR="00D34F2B" w:rsidRPr="00614736" w:rsidRDefault="00D34F2B" w:rsidP="00F63B8F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</w:t>
            </w:r>
            <w:r w:rsidR="00644CB1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3CA9FA0B" w14:textId="63E44931" w:rsidR="00D34F2B" w:rsidRPr="00614736" w:rsidRDefault="00D34F2B" w:rsidP="00BE5337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 w:rsidRPr="00614736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1</w:t>
            </w:r>
            <w:r w:rsidR="00644CB1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FEA42C6" w14:textId="07CCE237" w:rsidR="00D34F2B" w:rsidRPr="00E01B5F" w:rsidRDefault="00644CB1" w:rsidP="00BE5337">
            <w:pPr>
              <w:jc w:val="center"/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95,9</w:t>
            </w:r>
            <w:r w:rsidR="00D34F2B" w:rsidRPr="00E01B5F">
              <w:rPr>
                <w:rFonts w:ascii="Cambria" w:eastAsia="Times New Roman" w:hAnsi="Cambria" w:cs="Arial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14:paraId="1EEF53A4" w14:textId="3D709217" w:rsidR="00C5606C" w:rsidRPr="00E01B5F" w:rsidRDefault="00C5606C" w:rsidP="00C5606C">
      <w:pPr>
        <w:spacing w:line="276" w:lineRule="auto"/>
        <w:jc w:val="center"/>
        <w:rPr>
          <w:rFonts w:ascii="Cambria" w:hAnsi="Cambria" w:cs="Arial"/>
          <w:i/>
          <w:noProof/>
          <w:sz w:val="20"/>
          <w:szCs w:val="20"/>
        </w:rPr>
      </w:pPr>
      <w:r w:rsidRPr="00E01B5F">
        <w:rPr>
          <w:rFonts w:ascii="Cambria" w:hAnsi="Cambria" w:cs="Arial"/>
          <w:b/>
          <w:noProof/>
          <w:sz w:val="20"/>
          <w:szCs w:val="20"/>
        </w:rPr>
        <w:t>Source</w:t>
      </w:r>
      <w:r w:rsidRPr="00E01B5F">
        <w:rPr>
          <w:rFonts w:ascii="Cambria" w:hAnsi="Cambria" w:cs="Arial"/>
          <w:noProof/>
          <w:sz w:val="20"/>
          <w:szCs w:val="20"/>
        </w:rPr>
        <w:t xml:space="preserve">. </w:t>
      </w:r>
      <w:r w:rsidRPr="00E01B5F">
        <w:rPr>
          <w:rFonts w:ascii="Cambria" w:hAnsi="Cambria" w:cs="Arial"/>
          <w:i/>
          <w:noProof/>
          <w:sz w:val="20"/>
          <w:szCs w:val="20"/>
        </w:rPr>
        <w:t>www. Lecames.org. Statistiqu</w:t>
      </w:r>
      <w:r w:rsidR="00644CB1">
        <w:rPr>
          <w:rFonts w:ascii="Cambria" w:hAnsi="Cambria" w:cs="Arial"/>
          <w:i/>
          <w:noProof/>
          <w:sz w:val="20"/>
          <w:szCs w:val="20"/>
        </w:rPr>
        <w:t>es des candidatures aux CCI 2024</w:t>
      </w:r>
    </w:p>
    <w:p w14:paraId="3C6F7249" w14:textId="77777777" w:rsidR="006B3FEF" w:rsidRDefault="006B3FEF" w:rsidP="00C5606C">
      <w:pPr>
        <w:spacing w:line="276" w:lineRule="auto"/>
        <w:jc w:val="both"/>
        <w:rPr>
          <w:rFonts w:ascii="Cambria" w:hAnsi="Cambria" w:cs="Arial"/>
          <w:noProof/>
        </w:rPr>
      </w:pPr>
    </w:p>
    <w:p w14:paraId="41BCF2F6" w14:textId="77777777" w:rsidR="00F70D1A" w:rsidRDefault="00F70D1A" w:rsidP="00066C1A">
      <w:pPr>
        <w:spacing w:line="276" w:lineRule="auto"/>
        <w:jc w:val="both"/>
        <w:rPr>
          <w:rFonts w:ascii="Cambria" w:hAnsi="Cambria" w:cs="Arial"/>
          <w:noProof/>
        </w:rPr>
      </w:pPr>
    </w:p>
    <w:p w14:paraId="08C199CB" w14:textId="5100AA1E" w:rsidR="00F70D1A" w:rsidRPr="00F75105" w:rsidRDefault="00F70D1A" w:rsidP="00F70D1A">
      <w:pPr>
        <w:spacing w:line="276" w:lineRule="auto"/>
        <w:jc w:val="center"/>
        <w:rPr>
          <w:rFonts w:ascii="Cambria" w:hAnsi="Cambria" w:cs="Arial"/>
          <w:noProof/>
        </w:rPr>
      </w:pPr>
    </w:p>
    <w:sectPr w:rsidR="00F70D1A" w:rsidRPr="00F75105" w:rsidSect="00417FD5">
      <w:footerReference w:type="even" r:id="rId9"/>
      <w:footerReference w:type="default" r:id="rId10"/>
      <w:pgSz w:w="11900" w:h="16840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0EE87" w14:textId="77777777" w:rsidR="008204BA" w:rsidRDefault="008204BA">
      <w:r>
        <w:separator/>
      </w:r>
    </w:p>
  </w:endnote>
  <w:endnote w:type="continuationSeparator" w:id="0">
    <w:p w14:paraId="0CA1CBC2" w14:textId="77777777" w:rsidR="008204BA" w:rsidRDefault="0082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4A69" w14:textId="77777777" w:rsidR="00D45381" w:rsidRDefault="000F10DD" w:rsidP="00D4538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14B627B" w14:textId="77777777" w:rsidR="00D45381" w:rsidRDefault="008204BA" w:rsidP="006301B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E171E" w14:textId="41129AEB" w:rsidR="00D45381" w:rsidRPr="00BD28C1" w:rsidRDefault="000F10DD" w:rsidP="00D45381">
    <w:pPr>
      <w:pStyle w:val="Pieddepage"/>
      <w:framePr w:wrap="around" w:vAnchor="text" w:hAnchor="margin" w:xAlign="right" w:y="1"/>
      <w:rPr>
        <w:rStyle w:val="Numrodepage"/>
        <w:sz w:val="22"/>
        <w:szCs w:val="22"/>
      </w:rPr>
    </w:pPr>
    <w:r w:rsidRPr="00BD28C1">
      <w:rPr>
        <w:rStyle w:val="Numrodepage"/>
        <w:sz w:val="22"/>
        <w:szCs w:val="22"/>
      </w:rPr>
      <w:fldChar w:fldCharType="begin"/>
    </w:r>
    <w:r w:rsidRPr="00BD28C1">
      <w:rPr>
        <w:rStyle w:val="Numrodepage"/>
        <w:sz w:val="22"/>
        <w:szCs w:val="22"/>
      </w:rPr>
      <w:instrText xml:space="preserve">PAGE  </w:instrText>
    </w:r>
    <w:r w:rsidRPr="00BD28C1">
      <w:rPr>
        <w:rStyle w:val="Numrodepage"/>
        <w:sz w:val="22"/>
        <w:szCs w:val="22"/>
      </w:rPr>
      <w:fldChar w:fldCharType="separate"/>
    </w:r>
    <w:r w:rsidR="00B73E31">
      <w:rPr>
        <w:rStyle w:val="Numrodepage"/>
        <w:noProof/>
        <w:sz w:val="22"/>
        <w:szCs w:val="22"/>
      </w:rPr>
      <w:t>2</w:t>
    </w:r>
    <w:r w:rsidRPr="00BD28C1">
      <w:rPr>
        <w:rStyle w:val="Numrodepage"/>
        <w:sz w:val="22"/>
        <w:szCs w:val="22"/>
      </w:rPr>
      <w:fldChar w:fldCharType="end"/>
    </w:r>
    <w:r w:rsidR="00A60D96">
      <w:rPr>
        <w:rStyle w:val="Numrodepage"/>
        <w:sz w:val="22"/>
        <w:szCs w:val="22"/>
      </w:rPr>
      <w:t>/</w:t>
    </w:r>
    <w:r w:rsidR="00013BBD">
      <w:rPr>
        <w:rStyle w:val="Numrodepage"/>
        <w:sz w:val="22"/>
        <w:szCs w:val="22"/>
      </w:rPr>
      <w:t>2</w:t>
    </w:r>
  </w:p>
  <w:p w14:paraId="74898953" w14:textId="77777777" w:rsidR="00D45381" w:rsidRDefault="008204BA" w:rsidP="006301B3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47DD5" w14:textId="77777777" w:rsidR="008204BA" w:rsidRDefault="008204BA">
      <w:r>
        <w:separator/>
      </w:r>
    </w:p>
  </w:footnote>
  <w:footnote w:type="continuationSeparator" w:id="0">
    <w:p w14:paraId="258EB564" w14:textId="77777777" w:rsidR="008204BA" w:rsidRDefault="00820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151E4"/>
    <w:multiLevelType w:val="hybridMultilevel"/>
    <w:tmpl w:val="D16CC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DD"/>
    <w:rsid w:val="00013996"/>
    <w:rsid w:val="00013BBD"/>
    <w:rsid w:val="00026253"/>
    <w:rsid w:val="00066C1A"/>
    <w:rsid w:val="000B31BE"/>
    <w:rsid w:val="000D1417"/>
    <w:rsid w:val="000F10DD"/>
    <w:rsid w:val="000F61EF"/>
    <w:rsid w:val="001247BD"/>
    <w:rsid w:val="00136892"/>
    <w:rsid w:val="00156290"/>
    <w:rsid w:val="001A6C60"/>
    <w:rsid w:val="001D5DF0"/>
    <w:rsid w:val="001D7D28"/>
    <w:rsid w:val="00231967"/>
    <w:rsid w:val="00243A52"/>
    <w:rsid w:val="00270150"/>
    <w:rsid w:val="00307930"/>
    <w:rsid w:val="00314434"/>
    <w:rsid w:val="003570D7"/>
    <w:rsid w:val="00363960"/>
    <w:rsid w:val="00373845"/>
    <w:rsid w:val="003910A5"/>
    <w:rsid w:val="003A2831"/>
    <w:rsid w:val="003B5001"/>
    <w:rsid w:val="003B63CC"/>
    <w:rsid w:val="003E393D"/>
    <w:rsid w:val="0040568F"/>
    <w:rsid w:val="00406ADF"/>
    <w:rsid w:val="004172DF"/>
    <w:rsid w:val="00417FD5"/>
    <w:rsid w:val="0042117E"/>
    <w:rsid w:val="00421BCC"/>
    <w:rsid w:val="00446D14"/>
    <w:rsid w:val="00457E65"/>
    <w:rsid w:val="00486831"/>
    <w:rsid w:val="004A2D2D"/>
    <w:rsid w:val="004B258A"/>
    <w:rsid w:val="004D2905"/>
    <w:rsid w:val="00507C93"/>
    <w:rsid w:val="00580CF0"/>
    <w:rsid w:val="005C529A"/>
    <w:rsid w:val="00614736"/>
    <w:rsid w:val="0063074C"/>
    <w:rsid w:val="00644CB1"/>
    <w:rsid w:val="00657E5D"/>
    <w:rsid w:val="0066319F"/>
    <w:rsid w:val="00680C2B"/>
    <w:rsid w:val="006A102D"/>
    <w:rsid w:val="006B2E13"/>
    <w:rsid w:val="006B3ABE"/>
    <w:rsid w:val="006B3FEF"/>
    <w:rsid w:val="006E30DB"/>
    <w:rsid w:val="006F5686"/>
    <w:rsid w:val="0071194F"/>
    <w:rsid w:val="0071613E"/>
    <w:rsid w:val="00720356"/>
    <w:rsid w:val="007465D0"/>
    <w:rsid w:val="00747947"/>
    <w:rsid w:val="0076502F"/>
    <w:rsid w:val="00784F7D"/>
    <w:rsid w:val="0079025D"/>
    <w:rsid w:val="007B7E18"/>
    <w:rsid w:val="007E3C40"/>
    <w:rsid w:val="007E7C39"/>
    <w:rsid w:val="008204BA"/>
    <w:rsid w:val="00835486"/>
    <w:rsid w:val="008365A6"/>
    <w:rsid w:val="0085686A"/>
    <w:rsid w:val="0089321A"/>
    <w:rsid w:val="008C6B85"/>
    <w:rsid w:val="008D3621"/>
    <w:rsid w:val="008F0350"/>
    <w:rsid w:val="008F1344"/>
    <w:rsid w:val="008F4F39"/>
    <w:rsid w:val="008F537E"/>
    <w:rsid w:val="00904ACC"/>
    <w:rsid w:val="00922E1F"/>
    <w:rsid w:val="00933105"/>
    <w:rsid w:val="00940CCE"/>
    <w:rsid w:val="009505FC"/>
    <w:rsid w:val="009663D7"/>
    <w:rsid w:val="00A25200"/>
    <w:rsid w:val="00A379E1"/>
    <w:rsid w:val="00A44000"/>
    <w:rsid w:val="00A5333E"/>
    <w:rsid w:val="00A60D96"/>
    <w:rsid w:val="00A7634E"/>
    <w:rsid w:val="00AB2101"/>
    <w:rsid w:val="00AC77AB"/>
    <w:rsid w:val="00B30F1F"/>
    <w:rsid w:val="00B367B7"/>
    <w:rsid w:val="00B368EA"/>
    <w:rsid w:val="00B73E31"/>
    <w:rsid w:val="00B751F2"/>
    <w:rsid w:val="00B779F6"/>
    <w:rsid w:val="00B81B46"/>
    <w:rsid w:val="00B86820"/>
    <w:rsid w:val="00B93CDD"/>
    <w:rsid w:val="00BA38E6"/>
    <w:rsid w:val="00BA6CD2"/>
    <w:rsid w:val="00BD28C1"/>
    <w:rsid w:val="00BE09B0"/>
    <w:rsid w:val="00C04AB3"/>
    <w:rsid w:val="00C5606C"/>
    <w:rsid w:val="00C85844"/>
    <w:rsid w:val="00CB4957"/>
    <w:rsid w:val="00CC09C0"/>
    <w:rsid w:val="00CC4D75"/>
    <w:rsid w:val="00D107CB"/>
    <w:rsid w:val="00D15795"/>
    <w:rsid w:val="00D17487"/>
    <w:rsid w:val="00D1776E"/>
    <w:rsid w:val="00D34F2B"/>
    <w:rsid w:val="00D87085"/>
    <w:rsid w:val="00DE0D92"/>
    <w:rsid w:val="00DF11FD"/>
    <w:rsid w:val="00E01B5F"/>
    <w:rsid w:val="00E14D88"/>
    <w:rsid w:val="00E2184D"/>
    <w:rsid w:val="00E52F8E"/>
    <w:rsid w:val="00EC6859"/>
    <w:rsid w:val="00F63B8F"/>
    <w:rsid w:val="00F70D1A"/>
    <w:rsid w:val="00F75105"/>
    <w:rsid w:val="00F81480"/>
    <w:rsid w:val="00F85695"/>
    <w:rsid w:val="00F94B75"/>
    <w:rsid w:val="00FA676A"/>
    <w:rsid w:val="00FB1D3D"/>
    <w:rsid w:val="00FC3537"/>
    <w:rsid w:val="00FD4F40"/>
    <w:rsid w:val="00FE45C9"/>
    <w:rsid w:val="00F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F521D"/>
  <w15:docId w15:val="{0DDA6260-6591-5843-A10E-95E950A54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S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0DD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10DD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F10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10DD"/>
    <w:rPr>
      <w:rFonts w:eastAsiaTheme="minorEastAsia"/>
      <w:lang w:val="fr-FR" w:eastAsia="fr-FR"/>
    </w:rPr>
  </w:style>
  <w:style w:type="character" w:styleId="Numrodepage">
    <w:name w:val="page number"/>
    <w:basedOn w:val="Policepardfaut"/>
    <w:uiPriority w:val="99"/>
    <w:semiHidden/>
    <w:unhideWhenUsed/>
    <w:rsid w:val="000F10DD"/>
  </w:style>
  <w:style w:type="paragraph" w:styleId="Textedebulles">
    <w:name w:val="Balloon Text"/>
    <w:basedOn w:val="Normal"/>
    <w:link w:val="TextedebullesCar"/>
    <w:uiPriority w:val="99"/>
    <w:semiHidden/>
    <w:unhideWhenUsed/>
    <w:rsid w:val="00A5333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333E"/>
    <w:rPr>
      <w:rFonts w:ascii="Lucida Grande" w:eastAsiaTheme="minorEastAsia" w:hAnsi="Lucida Grande" w:cs="Lucida Grande"/>
      <w:sz w:val="18"/>
      <w:szCs w:val="18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9663D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63D7"/>
    <w:rPr>
      <w:rFonts w:eastAsiaTheme="minorEastAsia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Feuil1!$B$8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Feuil1!$C$7</c:f>
              <c:strCache>
                <c:ptCount val="1"/>
                <c:pt idx="0">
                  <c:v>% de réussite</c:v>
                </c:pt>
              </c:strCache>
            </c:strRef>
          </c:cat>
          <c:val>
            <c:numRef>
              <c:f>Feuil1!$C$8</c:f>
              <c:numCache>
                <c:formatCode>General</c:formatCode>
                <c:ptCount val="1"/>
                <c:pt idx="0">
                  <c:v>87.8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C2-7A4A-88E7-DFB3453EDB0B}"/>
            </c:ext>
          </c:extLst>
        </c:ser>
        <c:ser>
          <c:idx val="1"/>
          <c:order val="1"/>
          <c:tx>
            <c:strRef>
              <c:f>Feuil1!$B$9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Feuil1!$C$7</c:f>
              <c:strCache>
                <c:ptCount val="1"/>
                <c:pt idx="0">
                  <c:v>% de réussite</c:v>
                </c:pt>
              </c:strCache>
            </c:strRef>
          </c:cat>
          <c:val>
            <c:numRef>
              <c:f>Feuil1!$C$9</c:f>
              <c:numCache>
                <c:formatCode>General</c:formatCode>
                <c:ptCount val="1"/>
                <c:pt idx="0">
                  <c:v>84.8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C2-7A4A-88E7-DFB3453EDB0B}"/>
            </c:ext>
          </c:extLst>
        </c:ser>
        <c:ser>
          <c:idx val="2"/>
          <c:order val="2"/>
          <c:tx>
            <c:strRef>
              <c:f>Feuil1!$B$10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Feuil1!$C$7</c:f>
              <c:strCache>
                <c:ptCount val="1"/>
                <c:pt idx="0">
                  <c:v>% de réussite</c:v>
                </c:pt>
              </c:strCache>
            </c:strRef>
          </c:cat>
          <c:val>
            <c:numRef>
              <c:f>Feuil1!$C$10</c:f>
              <c:numCache>
                <c:formatCode>General</c:formatCode>
                <c:ptCount val="1"/>
                <c:pt idx="0">
                  <c:v>80.7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C2-7A4A-88E7-DFB3453EDB0B}"/>
            </c:ext>
          </c:extLst>
        </c:ser>
        <c:ser>
          <c:idx val="3"/>
          <c:order val="3"/>
          <c:tx>
            <c:strRef>
              <c:f>Feuil1!$B$11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Feuil1!$C$7</c:f>
              <c:strCache>
                <c:ptCount val="1"/>
                <c:pt idx="0">
                  <c:v>% de réussite</c:v>
                </c:pt>
              </c:strCache>
            </c:strRef>
          </c:cat>
          <c:val>
            <c:numRef>
              <c:f>Feuil1!$C$11</c:f>
              <c:numCache>
                <c:formatCode>General</c:formatCode>
                <c:ptCount val="1"/>
                <c:pt idx="0">
                  <c:v>74.8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C2-7A4A-88E7-DFB3453EDB0B}"/>
            </c:ext>
          </c:extLst>
        </c:ser>
        <c:ser>
          <c:idx val="4"/>
          <c:order val="4"/>
          <c:tx>
            <c:strRef>
              <c:f>Feuil1!$B$12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Feuil1!$C$7</c:f>
              <c:strCache>
                <c:ptCount val="1"/>
                <c:pt idx="0">
                  <c:v>% de réussite</c:v>
                </c:pt>
              </c:strCache>
            </c:strRef>
          </c:cat>
          <c:val>
            <c:numRef>
              <c:f>Feuil1!$C$12</c:f>
              <c:numCache>
                <c:formatCode>General</c:formatCode>
                <c:ptCount val="1"/>
                <c:pt idx="0">
                  <c:v>81.2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C2-7A4A-88E7-DFB3453EDB0B}"/>
            </c:ext>
          </c:extLst>
        </c:ser>
        <c:ser>
          <c:idx val="5"/>
          <c:order val="5"/>
          <c:tx>
            <c:strRef>
              <c:f>Feuil1!$B$13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6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Feuil1!$C$7</c:f>
              <c:strCache>
                <c:ptCount val="1"/>
                <c:pt idx="0">
                  <c:v>% de réussite</c:v>
                </c:pt>
              </c:strCache>
            </c:strRef>
          </c:cat>
          <c:val>
            <c:numRef>
              <c:f>Feuil1!$C$13</c:f>
              <c:numCache>
                <c:formatCode>General</c:formatCode>
                <c:ptCount val="1"/>
                <c:pt idx="0">
                  <c:v>86.6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CC2-7A4A-88E7-DFB3453EDB0B}"/>
            </c:ext>
          </c:extLst>
        </c:ser>
        <c:ser>
          <c:idx val="6"/>
          <c:order val="6"/>
          <c:tx>
            <c:strRef>
              <c:f>Feuil1!$B$14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Feuil1!$C$7</c:f>
              <c:strCache>
                <c:ptCount val="1"/>
                <c:pt idx="0">
                  <c:v>% de réussite</c:v>
                </c:pt>
              </c:strCache>
            </c:strRef>
          </c:cat>
          <c:val>
            <c:numRef>
              <c:f>Feuil1!$C$14</c:f>
              <c:numCache>
                <c:formatCode>General</c:formatCode>
                <c:ptCount val="1"/>
                <c:pt idx="0">
                  <c:v>88.5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CC2-7A4A-88E7-DFB3453EDB0B}"/>
            </c:ext>
          </c:extLst>
        </c:ser>
        <c:ser>
          <c:idx val="7"/>
          <c:order val="7"/>
          <c:tx>
            <c:strRef>
              <c:f>Feuil1!$B$15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>
                <a:lumMod val="60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fr-FR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Feuil1!$C$7</c:f>
              <c:strCache>
                <c:ptCount val="1"/>
                <c:pt idx="0">
                  <c:v>% de réussite</c:v>
                </c:pt>
              </c:strCache>
            </c:strRef>
          </c:cat>
          <c:val>
            <c:numRef>
              <c:f>Feuil1!$C$15</c:f>
              <c:numCache>
                <c:formatCode>General</c:formatCode>
                <c:ptCount val="1"/>
                <c:pt idx="0">
                  <c:v>95.9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CC2-7A4A-88E7-DFB3453EDB0B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-1968467232"/>
        <c:axId val="-1968472672"/>
      </c:barChart>
      <c:catAx>
        <c:axId val="-1968467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-1968472672"/>
        <c:crosses val="autoZero"/>
        <c:auto val="1"/>
        <c:lblAlgn val="ctr"/>
        <c:lblOffset val="100"/>
        <c:noMultiLvlLbl val="0"/>
      </c:catAx>
      <c:valAx>
        <c:axId val="-196847267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1968467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LISHOU</dc:creator>
  <cp:keywords/>
  <dc:description/>
  <cp:lastModifiedBy>USER</cp:lastModifiedBy>
  <cp:revision>2</cp:revision>
  <dcterms:created xsi:type="dcterms:W3CDTF">2024-07-19T12:23:00Z</dcterms:created>
  <dcterms:modified xsi:type="dcterms:W3CDTF">2024-07-19T12:23:00Z</dcterms:modified>
</cp:coreProperties>
</file>